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ascii="Times New Roman" w:hAnsi="Times New Roman" w:cs="Times New Roman"/>
          <w:color w:val="auto"/>
          <w:highlight w:val="none"/>
        </w:rPr>
      </w:pPr>
    </w:p>
    <w:p>
      <w:pPr>
        <w:pStyle w:val="6"/>
        <w:rPr>
          <w:rFonts w:hint="default" w:ascii="Times New Roman" w:hAnsi="Times New Roman" w:eastAsia="方正仿宋_GBK" w:cs="Times New Roman"/>
          <w:color w:val="auto"/>
          <w:spacing w:val="0"/>
          <w:highlight w:val="none"/>
        </w:rPr>
      </w:pPr>
    </w:p>
    <w:p>
      <w:pPr>
        <w:pStyle w:val="7"/>
        <w:keepNext w:val="0"/>
        <w:keepLines w:val="0"/>
        <w:pageBreakBefore w:val="0"/>
        <w:widowControl w:val="0"/>
        <w:numPr>
          <w:ilvl w:val="0"/>
          <w:numId w:val="0"/>
        </w:numPr>
        <w:kinsoku/>
        <w:wordWrap/>
        <w:topLinePunct w:val="0"/>
        <w:autoSpaceDE/>
        <w:autoSpaceDN/>
        <w:bidi w:val="0"/>
        <w:adjustRightInd/>
        <w:snapToGrid/>
        <w:spacing w:line="578" w:lineRule="exact"/>
        <w:ind w:left="0" w:right="0"/>
        <w:jc w:val="both"/>
        <w:textAlignment w:val="auto"/>
        <w:rPr>
          <w:rFonts w:hint="default" w:ascii="Times New Roman" w:hAnsi="Times New Roman" w:eastAsia="方正仿宋_GBK" w:cs="Times New Roman"/>
          <w:color w:val="auto"/>
          <w:spacing w:val="0"/>
          <w:highlight w:val="none"/>
        </w:rPr>
      </w:pPr>
    </w:p>
    <w:p>
      <w:pPr>
        <w:pStyle w:val="7"/>
        <w:keepNext w:val="0"/>
        <w:keepLines w:val="0"/>
        <w:pageBreakBefore w:val="0"/>
        <w:widowControl w:val="0"/>
        <w:numPr>
          <w:ilvl w:val="0"/>
          <w:numId w:val="0"/>
        </w:numPr>
        <w:kinsoku/>
        <w:wordWrap/>
        <w:topLinePunct w:val="0"/>
        <w:autoSpaceDE/>
        <w:autoSpaceDN/>
        <w:bidi w:val="0"/>
        <w:adjustRightInd/>
        <w:snapToGrid/>
        <w:spacing w:line="578" w:lineRule="exact"/>
        <w:ind w:left="0" w:right="0"/>
        <w:jc w:val="both"/>
        <w:textAlignment w:val="auto"/>
        <w:rPr>
          <w:rFonts w:hint="default" w:ascii="Times New Roman" w:hAnsi="Times New Roman" w:eastAsia="方正仿宋_GBK" w:cs="Times New Roman"/>
          <w:color w:val="auto"/>
          <w:spacing w:val="0"/>
          <w:highlight w:val="none"/>
        </w:rPr>
      </w:pPr>
    </w:p>
    <w:p>
      <w:pPr>
        <w:pStyle w:val="5"/>
        <w:keepNext w:val="0"/>
        <w:keepLines w:val="0"/>
        <w:pageBreakBefore w:val="0"/>
        <w:widowControl w:val="0"/>
        <w:kinsoku/>
        <w:wordWrap/>
        <w:overflowPunct/>
        <w:topLinePunct w:val="0"/>
        <w:autoSpaceDE/>
        <w:autoSpaceDN/>
        <w:bidi w:val="0"/>
        <w:adjustRightInd/>
        <w:snapToGrid/>
        <w:spacing w:line="578" w:lineRule="exact"/>
        <w:ind w:left="0" w:right="0"/>
        <w:jc w:val="both"/>
        <w:textAlignment w:val="auto"/>
        <w:rPr>
          <w:rFonts w:hint="default" w:ascii="Times New Roman" w:hAnsi="Times New Roman" w:eastAsia="方正仿宋_GBK" w:cs="Times New Roman"/>
          <w:color w:val="auto"/>
          <w:spacing w:val="0"/>
          <w:highlight w:val="none"/>
        </w:rPr>
      </w:pPr>
    </w:p>
    <w:p>
      <w:pPr>
        <w:pStyle w:val="6"/>
        <w:keepNext w:val="0"/>
        <w:keepLines w:val="0"/>
        <w:pageBreakBefore w:val="0"/>
        <w:widowControl w:val="0"/>
        <w:kinsoku/>
        <w:wordWrap/>
        <w:overflowPunct/>
        <w:topLinePunct w:val="0"/>
        <w:autoSpaceDE/>
        <w:autoSpaceDN/>
        <w:bidi w:val="0"/>
        <w:adjustRightInd/>
        <w:snapToGrid/>
        <w:spacing w:line="578" w:lineRule="exact"/>
        <w:ind w:left="0" w:right="0"/>
        <w:jc w:val="both"/>
        <w:textAlignment w:val="auto"/>
        <w:rPr>
          <w:rFonts w:hint="default" w:ascii="Times New Roman" w:hAnsi="Times New Roman" w:eastAsia="方正仿宋_GBK" w:cs="Times New Roman"/>
          <w:color w:val="auto"/>
          <w:spacing w:val="0"/>
          <w:highlight w:val="none"/>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right="0"/>
        <w:jc w:val="both"/>
        <w:textAlignment w:val="auto"/>
        <w:rPr>
          <w:rFonts w:hint="default" w:ascii="Times New Roman" w:hAnsi="Times New Roman" w:cs="Times New Roman"/>
          <w:color w:val="auto"/>
          <w:highlight w:val="none"/>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right="0"/>
        <w:jc w:val="both"/>
        <w:textAlignment w:val="auto"/>
        <w:rPr>
          <w:rFonts w:hint="default" w:ascii="Times New Roman" w:hAnsi="Times New Roman" w:cs="Times New Roman"/>
          <w:color w:val="auto"/>
          <w:highlight w:val="none"/>
        </w:rPr>
      </w:pPr>
    </w:p>
    <w:p>
      <w:pPr>
        <w:pStyle w:val="4"/>
        <w:keepNext w:val="0"/>
        <w:keepLines w:val="0"/>
        <w:pageBreakBefore w:val="0"/>
        <w:widowControl w:val="0"/>
        <w:kinsoku/>
        <w:wordWrap/>
        <w:overflowPunct/>
        <w:topLinePunct w:val="0"/>
        <w:autoSpaceDE/>
        <w:autoSpaceDN/>
        <w:bidi w:val="0"/>
        <w:adjustRightInd/>
        <w:snapToGrid/>
        <w:spacing w:line="578" w:lineRule="exact"/>
        <w:ind w:left="0" w:leftChars="0" w:right="0" w:firstLine="0" w:firstLineChars="0"/>
        <w:jc w:val="both"/>
        <w:textAlignment w:val="auto"/>
        <w:outlineLvl w:val="9"/>
        <w:rPr>
          <w:rFonts w:hint="default" w:ascii="Times New Roman" w:hAnsi="Times New Roman" w:eastAsia="方正仿宋_GBK" w:cs="Times New Roman"/>
          <w:color w:val="auto"/>
          <w:spacing w:val="0"/>
          <w:highlight w:val="none"/>
        </w:rPr>
      </w:pPr>
    </w:p>
    <w:p>
      <w:pPr>
        <w:pStyle w:val="4"/>
        <w:keepNext w:val="0"/>
        <w:keepLines w:val="0"/>
        <w:pageBreakBefore w:val="0"/>
        <w:widowControl w:val="0"/>
        <w:kinsoku/>
        <w:wordWrap/>
        <w:overflowPunct/>
        <w:topLinePunct w:val="0"/>
        <w:autoSpaceDE/>
        <w:autoSpaceDN/>
        <w:bidi w:val="0"/>
        <w:adjustRightInd/>
        <w:snapToGrid/>
        <w:spacing w:line="578" w:lineRule="exact"/>
        <w:ind w:left="0" w:leftChars="0" w:right="0" w:firstLine="0" w:firstLineChars="0"/>
        <w:jc w:val="center"/>
        <w:textAlignment w:val="auto"/>
        <w:outlineLvl w:val="9"/>
        <w:rPr>
          <w:rFonts w:hint="default" w:ascii="Times New Roman" w:hAnsi="Times New Roman" w:eastAsia="方正仿宋_GBK" w:cs="Times New Roman"/>
          <w:color w:val="auto"/>
          <w:spacing w:val="0"/>
          <w:szCs w:val="32"/>
          <w:highlight w:val="red"/>
        </w:rPr>
      </w:pPr>
      <w:r>
        <w:rPr>
          <w:rFonts w:hint="eastAsia" w:eastAsia="方正仿宋_GBK" w:cs="Times New Roman"/>
          <w:color w:val="auto"/>
          <w:spacing w:val="0"/>
          <w:highlight w:val="none"/>
          <w:lang w:val="en-US" w:eastAsia="zh-CN"/>
        </w:rPr>
        <w:t>恰政办</w:t>
      </w:r>
      <w:r>
        <w:rPr>
          <w:rFonts w:hint="default" w:ascii="Times New Roman" w:hAnsi="Times New Roman" w:eastAsia="方正仿宋_GBK" w:cs="Times New Roman"/>
          <w:color w:val="auto"/>
          <w:spacing w:val="0"/>
          <w:highlight w:val="none"/>
          <w:lang w:eastAsia="zh-CN"/>
        </w:rPr>
        <w:t>发</w:t>
      </w:r>
      <w:r>
        <w:rPr>
          <w:rFonts w:hint="default" w:ascii="Times New Roman" w:hAnsi="Times New Roman" w:eastAsia="方正仿宋_GBK" w:cs="Times New Roman"/>
          <w:color w:val="auto"/>
          <w:spacing w:val="0"/>
          <w:highlight w:val="none"/>
        </w:rPr>
        <w:t>〔20</w:t>
      </w:r>
      <w:r>
        <w:rPr>
          <w:rFonts w:hint="default" w:ascii="Times New Roman" w:hAnsi="Times New Roman" w:eastAsia="方正仿宋_GBK" w:cs="Times New Roman"/>
          <w:color w:val="auto"/>
          <w:spacing w:val="0"/>
          <w:highlight w:val="none"/>
          <w:lang w:val="en-US" w:eastAsia="zh-CN"/>
        </w:rPr>
        <w:t>2</w:t>
      </w:r>
      <w:r>
        <w:rPr>
          <w:rFonts w:hint="default" w:ascii="Times New Roman" w:hAnsi="Times New Roman" w:eastAsia="方正仿宋_GBK" w:cs="Times New Roman"/>
          <w:color w:val="auto"/>
          <w:spacing w:val="0"/>
          <w:highlight w:val="none"/>
          <w:lang w:val="en" w:eastAsia="zh-CN"/>
        </w:rPr>
        <w:t>4</w:t>
      </w:r>
      <w:r>
        <w:rPr>
          <w:rFonts w:hint="default" w:ascii="Times New Roman" w:hAnsi="Times New Roman" w:eastAsia="方正仿宋_GBK" w:cs="Times New Roman"/>
          <w:color w:val="auto"/>
          <w:spacing w:val="0"/>
          <w:highlight w:val="none"/>
        </w:rPr>
        <w:t>〕</w:t>
      </w:r>
      <w:r>
        <w:rPr>
          <w:rFonts w:hint="eastAsia" w:eastAsia="方正仿宋_GBK" w:cs="Times New Roman"/>
          <w:color w:val="auto"/>
          <w:spacing w:val="0"/>
          <w:highlight w:val="none"/>
          <w:lang w:val="en-US" w:eastAsia="zh-CN"/>
        </w:rPr>
        <w:t>6</w:t>
      </w:r>
      <w:r>
        <w:rPr>
          <w:rFonts w:hint="default" w:ascii="Times New Roman" w:hAnsi="Times New Roman" w:eastAsia="方正仿宋_GBK" w:cs="Times New Roman"/>
          <w:color w:val="auto"/>
          <w:spacing w:val="0"/>
          <w:highlight w:val="none"/>
        </w:rPr>
        <w:t>号</w:t>
      </w:r>
    </w:p>
    <w:p>
      <w:pPr>
        <w:pStyle w:val="4"/>
        <w:keepNext w:val="0"/>
        <w:keepLines w:val="0"/>
        <w:pageBreakBefore w:val="0"/>
        <w:widowControl w:val="0"/>
        <w:kinsoku/>
        <w:wordWrap/>
        <w:overflowPunct/>
        <w:topLinePunct w:val="0"/>
        <w:autoSpaceDE/>
        <w:autoSpaceDN/>
        <w:bidi w:val="0"/>
        <w:adjustRightInd/>
        <w:snapToGrid/>
        <w:spacing w:line="578" w:lineRule="exact"/>
        <w:ind w:left="0" w:leftChars="0" w:right="0" w:firstLine="640" w:firstLineChars="200"/>
        <w:jc w:val="center"/>
        <w:textAlignment w:val="auto"/>
        <w:outlineLvl w:val="9"/>
        <w:rPr>
          <w:rFonts w:hint="default" w:ascii="Times New Roman" w:hAnsi="Times New Roman" w:eastAsia="方正仿宋_GBK" w:cs="Times New Roman"/>
          <w:color w:val="auto"/>
          <w:spacing w:val="0"/>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jc w:val="center"/>
        <w:textAlignment w:val="auto"/>
        <w:outlineLvl w:val="9"/>
        <w:rPr>
          <w:rFonts w:hint="default" w:ascii="Times New Roman" w:hAnsi="Times New Roman" w:eastAsia="方正仿宋_GBK" w:cs="Times New Roman"/>
          <w:color w:val="auto"/>
          <w:spacing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default" w:ascii="Times New Roman" w:hAnsi="Times New Roman" w:eastAsia="方正小标宋简体" w:cs="Times New Roman"/>
          <w:color w:val="auto"/>
          <w:spacing w:val="0"/>
          <w:w w:val="97"/>
          <w:sz w:val="44"/>
          <w:szCs w:val="44"/>
          <w:highlight w:val="none"/>
        </w:rPr>
      </w:pPr>
      <w:r>
        <w:rPr>
          <w:rFonts w:hint="default" w:ascii="Times New Roman" w:hAnsi="Times New Roman" w:eastAsia="方正小标宋简体" w:cs="Times New Roman"/>
          <w:color w:val="auto"/>
          <w:spacing w:val="0"/>
          <w:w w:val="97"/>
          <w:sz w:val="44"/>
          <w:szCs w:val="44"/>
          <w:highlight w:val="none"/>
        </w:rPr>
        <w:t>关于印发《</w:t>
      </w:r>
      <w:r>
        <w:rPr>
          <w:rFonts w:hint="default" w:ascii="Times New Roman" w:hAnsi="Times New Roman" w:eastAsia="方正小标宋简体" w:cs="Times New Roman"/>
          <w:color w:val="auto"/>
          <w:spacing w:val="0"/>
          <w:w w:val="97"/>
          <w:sz w:val="44"/>
          <w:szCs w:val="44"/>
          <w:highlight w:val="none"/>
          <w:lang w:val="en-US" w:eastAsia="zh-CN"/>
        </w:rPr>
        <w:t>乌恰县12345政务服务便民热线与110报警服务台日常联动机制</w:t>
      </w:r>
      <w:r>
        <w:rPr>
          <w:rFonts w:hint="default" w:ascii="Times New Roman" w:hAnsi="Times New Roman" w:eastAsia="方正小标宋简体" w:cs="Times New Roman"/>
          <w:color w:val="auto"/>
          <w:spacing w:val="0"/>
          <w:w w:val="97"/>
          <w:sz w:val="44"/>
          <w:szCs w:val="44"/>
          <w:highlight w:val="none"/>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outlineLvl w:val="9"/>
        <w:rPr>
          <w:rFonts w:hint="default" w:ascii="Times New Roman" w:hAnsi="Times New Roman" w:eastAsia="方正仿宋_GBK" w:cs="Times New Roman"/>
          <w:color w:val="auto"/>
          <w:spacing w:val="0"/>
          <w:szCs w:val="40"/>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outlineLvl w:val="9"/>
        <w:rPr>
          <w:rFonts w:hint="default" w:ascii="Times New Roman" w:hAnsi="Times New Roman" w:eastAsia="方正仿宋_GBK" w:cs="Times New Roman"/>
          <w:color w:val="auto"/>
          <w:spacing w:val="0"/>
          <w:szCs w:val="40"/>
          <w:highlight w:val="none"/>
        </w:rPr>
      </w:pPr>
      <w:r>
        <w:rPr>
          <w:rFonts w:hint="default" w:ascii="Times New Roman" w:hAnsi="Times New Roman" w:eastAsia="方正仿宋_GBK" w:cs="Times New Roman"/>
          <w:color w:val="auto"/>
          <w:spacing w:val="0"/>
          <w:sz w:val="32"/>
          <w:szCs w:val="32"/>
          <w:highlight w:val="none"/>
        </w:rPr>
        <w:t>各</w:t>
      </w:r>
      <w:r>
        <w:rPr>
          <w:rFonts w:hint="eastAsia" w:eastAsia="方正仿宋_GBK" w:cs="Times New Roman"/>
          <w:color w:val="auto"/>
          <w:spacing w:val="0"/>
          <w:sz w:val="32"/>
          <w:szCs w:val="32"/>
          <w:highlight w:val="none"/>
          <w:lang w:val="en-US" w:eastAsia="zh-CN"/>
        </w:rPr>
        <w:t>乡（镇）人民政府</w:t>
      </w:r>
      <w:r>
        <w:rPr>
          <w:rFonts w:hint="eastAsia" w:eastAsia="方正仿宋_GBK" w:cs="Times New Roman"/>
          <w:color w:val="auto"/>
          <w:spacing w:val="0"/>
          <w:sz w:val="32"/>
          <w:szCs w:val="32"/>
          <w:highlight w:val="none"/>
          <w:lang w:eastAsia="zh-CN"/>
        </w:rPr>
        <w:t>，</w:t>
      </w:r>
      <w:r>
        <w:rPr>
          <w:rFonts w:hint="eastAsia" w:eastAsia="方正仿宋_GBK" w:cs="Times New Roman"/>
          <w:color w:val="auto"/>
          <w:spacing w:val="0"/>
          <w:sz w:val="32"/>
          <w:szCs w:val="32"/>
          <w:highlight w:val="none"/>
          <w:lang w:val="en-US" w:eastAsia="zh-CN"/>
        </w:rPr>
        <w:t>政府各工作部门、县</w:t>
      </w:r>
      <w:r>
        <w:rPr>
          <w:rFonts w:hint="default" w:ascii="Times New Roman" w:hAnsi="Times New Roman" w:eastAsia="方正仿宋_GBK" w:cs="Times New Roman"/>
          <w:color w:val="auto"/>
          <w:spacing w:val="0"/>
          <w:sz w:val="32"/>
          <w:szCs w:val="32"/>
          <w:highlight w:val="none"/>
          <w:lang w:eastAsia="zh-CN"/>
        </w:rPr>
        <w:t>直</w:t>
      </w:r>
      <w:r>
        <w:rPr>
          <w:rFonts w:hint="default" w:ascii="Times New Roman" w:hAnsi="Times New Roman" w:eastAsia="方正仿宋_GBK" w:cs="Times New Roman"/>
          <w:color w:val="auto"/>
          <w:spacing w:val="0"/>
          <w:sz w:val="32"/>
          <w:szCs w:val="32"/>
          <w:highlight w:val="none"/>
        </w:rPr>
        <w:t>各相关</w:t>
      </w:r>
      <w:r>
        <w:rPr>
          <w:rFonts w:hint="default" w:ascii="Times New Roman" w:hAnsi="Times New Roman" w:eastAsia="方正仿宋_GBK" w:cs="Times New Roman"/>
          <w:color w:val="auto"/>
          <w:spacing w:val="0"/>
          <w:sz w:val="32"/>
          <w:szCs w:val="32"/>
          <w:highlight w:val="none"/>
          <w:lang w:eastAsia="zh-CN"/>
        </w:rPr>
        <w:t>部门</w:t>
      </w:r>
      <w:r>
        <w:rPr>
          <w:rFonts w:hint="default" w:ascii="Times New Roman" w:hAnsi="Times New Roman" w:eastAsia="方正仿宋_GBK" w:cs="Times New Roman"/>
          <w:color w:val="auto"/>
          <w:spacing w:val="0"/>
          <w:szCs w:val="40"/>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jc w:val="both"/>
        <w:textAlignment w:val="auto"/>
        <w:outlineLvl w:val="9"/>
        <w:rPr>
          <w:rFonts w:hint="default" w:ascii="Times New Roman" w:hAnsi="Times New Roman" w:eastAsia="方正仿宋_GBK" w:cs="Times New Roman"/>
          <w:color w:val="auto"/>
          <w:spacing w:val="0"/>
          <w:highlight w:val="none"/>
          <w:lang w:val="en-US" w:eastAsia="zh-CN"/>
        </w:rPr>
      </w:pPr>
      <w:r>
        <w:rPr>
          <w:rFonts w:hint="eastAsia" w:eastAsia="方正仿宋_GBK" w:cs="Times New Roman"/>
          <w:color w:val="auto"/>
          <w:spacing w:val="11"/>
          <w:sz w:val="32"/>
          <w:szCs w:val="32"/>
          <w:highlight w:val="none"/>
          <w:lang w:val="en-US" w:eastAsia="zh-CN"/>
        </w:rPr>
        <w:t>《</w:t>
      </w:r>
      <w:r>
        <w:rPr>
          <w:rFonts w:hint="default" w:ascii="Times New Roman" w:hAnsi="Times New Roman" w:eastAsia="方正仿宋_GBK" w:cs="Times New Roman"/>
          <w:color w:val="auto"/>
          <w:spacing w:val="11"/>
          <w:sz w:val="32"/>
          <w:szCs w:val="32"/>
          <w:highlight w:val="none"/>
          <w:lang w:val="en-US" w:eastAsia="zh-CN"/>
        </w:rPr>
        <w:t>乌恰县12345政务热线平台与110报警服务台联动工作机制</w:t>
      </w:r>
      <w:r>
        <w:rPr>
          <w:rFonts w:hint="eastAsia" w:eastAsia="方正仿宋_GBK" w:cs="Times New Roman"/>
          <w:color w:val="auto"/>
          <w:spacing w:val="11"/>
          <w:sz w:val="32"/>
          <w:szCs w:val="32"/>
          <w:highlight w:val="none"/>
          <w:lang w:val="en-US" w:eastAsia="zh-CN"/>
        </w:rPr>
        <w:t>》已经乌恰县人民政府同意，现印发你们，请结合实际，认真抓好贯彻落实</w:t>
      </w:r>
      <w:r>
        <w:rPr>
          <w:rFonts w:hint="default" w:ascii="Times New Roman" w:hAnsi="Times New Roman" w:eastAsia="方正仿宋_GBK" w:cs="Times New Roman"/>
          <w:color w:val="auto"/>
          <w:spacing w:val="0"/>
          <w:szCs w:val="4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jc w:val="both"/>
        <w:textAlignment w:val="auto"/>
        <w:outlineLvl w:val="9"/>
        <w:rPr>
          <w:rFonts w:hint="default" w:eastAsia="方正仿宋_GBK" w:cs="Times New Roman"/>
          <w:color w:val="auto"/>
          <w:spacing w:val="11"/>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4800" w:firstLineChars="1500"/>
        <w:jc w:val="both"/>
        <w:textAlignment w:val="auto"/>
        <w:outlineLvl w:val="9"/>
        <w:rPr>
          <w:rFonts w:hint="default" w:ascii="Times New Roman" w:hAnsi="Times New Roman" w:eastAsia="方正仿宋_GBK" w:cs="Times New Roman"/>
          <w:color w:val="auto"/>
          <w:spacing w:val="0"/>
          <w:szCs w:val="40"/>
          <w:highlight w:val="none"/>
          <w:lang w:val="en-US" w:eastAsia="zh-CN"/>
        </w:rPr>
      </w:pPr>
      <w:r>
        <w:rPr>
          <w:rFonts w:hint="default" w:ascii="Times New Roman" w:hAnsi="Times New Roman" w:eastAsia="方正仿宋_GBK" w:cs="Times New Roman"/>
          <w:color w:val="auto"/>
          <w:spacing w:val="0"/>
          <w:szCs w:val="40"/>
          <w:highlight w:val="none"/>
          <w:lang w:val="en-US" w:eastAsia="zh-CN"/>
        </w:rPr>
        <w:t>202</w:t>
      </w:r>
      <w:r>
        <w:rPr>
          <w:rFonts w:hint="default" w:ascii="Times New Roman" w:hAnsi="Times New Roman" w:eastAsia="方正仿宋_GBK" w:cs="Times New Roman"/>
          <w:color w:val="auto"/>
          <w:spacing w:val="0"/>
          <w:szCs w:val="40"/>
          <w:highlight w:val="none"/>
          <w:lang w:val="en" w:eastAsia="zh-CN"/>
        </w:rPr>
        <w:t>4</w:t>
      </w:r>
      <w:r>
        <w:rPr>
          <w:rFonts w:hint="default" w:ascii="Times New Roman" w:hAnsi="Times New Roman" w:eastAsia="方正仿宋_GBK" w:cs="Times New Roman"/>
          <w:color w:val="auto"/>
          <w:spacing w:val="0"/>
          <w:szCs w:val="40"/>
          <w:highlight w:val="none"/>
          <w:lang w:val="en-US" w:eastAsia="zh-CN"/>
        </w:rPr>
        <w:t>年</w:t>
      </w:r>
      <w:r>
        <w:rPr>
          <w:rFonts w:hint="eastAsia" w:eastAsia="方正仿宋_GBK" w:cs="Times New Roman"/>
          <w:color w:val="auto"/>
          <w:spacing w:val="0"/>
          <w:szCs w:val="40"/>
          <w:highlight w:val="none"/>
          <w:lang w:val="en-US" w:eastAsia="zh-CN"/>
        </w:rPr>
        <w:t>4</w:t>
      </w:r>
      <w:r>
        <w:rPr>
          <w:rFonts w:hint="default" w:ascii="Times New Roman" w:hAnsi="Times New Roman" w:eastAsia="方正仿宋_GBK" w:cs="Times New Roman"/>
          <w:color w:val="auto"/>
          <w:spacing w:val="0"/>
          <w:szCs w:val="40"/>
          <w:highlight w:val="none"/>
          <w:lang w:val="en-US" w:eastAsia="zh-CN"/>
        </w:rPr>
        <w:t>月</w:t>
      </w:r>
      <w:r>
        <w:rPr>
          <w:rFonts w:hint="eastAsia" w:eastAsia="方正仿宋_GBK" w:cs="Times New Roman"/>
          <w:color w:val="auto"/>
          <w:spacing w:val="0"/>
          <w:szCs w:val="40"/>
          <w:highlight w:val="none"/>
          <w:lang w:val="en-US" w:eastAsia="zh-CN"/>
        </w:rPr>
        <w:t>16</w:t>
      </w:r>
      <w:r>
        <w:rPr>
          <w:rFonts w:hint="default" w:ascii="Times New Roman" w:hAnsi="Times New Roman" w:eastAsia="方正仿宋_GBK" w:cs="Times New Roman"/>
          <w:color w:val="auto"/>
          <w:spacing w:val="0"/>
          <w:szCs w:val="40"/>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outlineLvl w:val="9"/>
        <w:rPr>
          <w:rFonts w:hint="eastAsia" w:ascii="Times New Roman" w:hAnsi="Times New Roman" w:eastAsia="方正小标宋简体" w:cs="Times New Roman"/>
          <w:color w:val="auto"/>
          <w:spacing w:val="0"/>
          <w:w w:val="97"/>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outlineLvl w:val="9"/>
        <w:rPr>
          <w:rFonts w:hint="eastAsia" w:ascii="Times New Roman" w:hAnsi="Times New Roman" w:eastAsia="方正小标宋简体" w:cs="Times New Roman"/>
          <w:color w:val="auto"/>
          <w:spacing w:val="0"/>
          <w:w w:val="97"/>
          <w:sz w:val="44"/>
          <w:szCs w:val="44"/>
          <w:highlight w:val="none"/>
          <w:lang w:val="en-US" w:eastAsia="zh-CN"/>
        </w:rPr>
      </w:pPr>
      <w:r>
        <w:rPr>
          <w:rFonts w:hint="eastAsia" w:ascii="Times New Roman" w:hAnsi="Times New Roman" w:eastAsia="方正小标宋简体" w:cs="Times New Roman"/>
          <w:color w:val="auto"/>
          <w:spacing w:val="0"/>
          <w:w w:val="97"/>
          <w:sz w:val="44"/>
          <w:szCs w:val="44"/>
          <w:highlight w:val="none"/>
          <w:lang w:val="en-US" w:eastAsia="zh-CN"/>
        </w:rPr>
        <w:t>乌恰县12345政务服务便民热线与110报警</w:t>
      </w:r>
    </w:p>
    <w:p>
      <w:pPr>
        <w:keepNext w:val="0"/>
        <w:keepLines w:val="0"/>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outlineLvl w:val="9"/>
        <w:rPr>
          <w:rFonts w:hint="eastAsia" w:ascii="黑体" w:hAnsi="黑体" w:eastAsia="黑体" w:cs="黑体"/>
          <w:sz w:val="40"/>
          <w:szCs w:val="48"/>
          <w:lang w:val="en-US" w:eastAsia="zh-CN"/>
        </w:rPr>
      </w:pPr>
      <w:r>
        <w:rPr>
          <w:rFonts w:hint="eastAsia" w:ascii="Times New Roman" w:hAnsi="Times New Roman" w:eastAsia="方正小标宋简体" w:cs="Times New Roman"/>
          <w:color w:val="auto"/>
          <w:spacing w:val="0"/>
          <w:w w:val="97"/>
          <w:sz w:val="44"/>
          <w:szCs w:val="44"/>
          <w:highlight w:val="none"/>
          <w:lang w:val="en-US" w:eastAsia="zh-CN"/>
        </w:rPr>
        <w:t>服务台日常联动机制</w:t>
      </w:r>
    </w:p>
    <w:p>
      <w:pPr>
        <w:pStyle w:val="5"/>
        <w:keepNext w:val="0"/>
        <w:keepLines w:val="0"/>
        <w:pageBreakBefore w:val="0"/>
        <w:widowControl w:val="0"/>
        <w:kinsoku/>
        <w:wordWrap/>
        <w:overflowPunct/>
        <w:topLinePunct w:val="0"/>
        <w:autoSpaceDE/>
        <w:autoSpaceDN/>
        <w:bidi w:val="0"/>
        <w:adjustRightInd/>
        <w:snapToGrid/>
        <w:spacing w:line="578" w:lineRule="exact"/>
        <w:ind w:left="0" w:leftChars="0" w:right="0" w:firstLine="0" w:firstLineChars="0"/>
        <w:jc w:val="center"/>
        <w:textAlignment w:val="auto"/>
        <w:rPr>
          <w:rFonts w:hint="eastAsia" w:ascii="Times New Roman" w:hAnsi="Times New Roman" w:eastAsia="方正小标宋简体" w:cs="方正小标宋简体"/>
          <w:color w:val="auto"/>
          <w:spacing w:val="0"/>
          <w:sz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0"/>
        <w:jc w:val="both"/>
        <w:textAlignment w:val="auto"/>
        <w:outlineLvl w:val="9"/>
        <w:rPr>
          <w:rFonts w:hint="default" w:ascii="Times New Roman" w:hAnsi="Times New Roman" w:eastAsia="方正仿宋_GBK" w:cs="Times New Roman"/>
          <w:color w:val="auto"/>
          <w:spacing w:val="0"/>
          <w:sz w:val="32"/>
          <w:szCs w:val="32"/>
          <w:highlight w:val="none"/>
          <w:lang w:val="en-US" w:eastAsia="zh-CN"/>
        </w:rPr>
      </w:pPr>
      <w:r>
        <w:rPr>
          <w:rFonts w:hint="eastAsia" w:ascii="Times New Roman" w:hAnsi="Times New Roman" w:eastAsia="方正仿宋_GBK" w:cs="Times New Roman"/>
          <w:color w:val="auto"/>
          <w:spacing w:val="0"/>
          <w:sz w:val="32"/>
          <w:szCs w:val="32"/>
          <w:highlight w:val="none"/>
          <w:lang w:val="en-US" w:eastAsia="zh-CN"/>
        </w:rPr>
        <w:t>为贯彻落实国务院办公厅《关于推动12345政务服务便民热线与110报警服务台高效对接联动的意见》（国办</w:t>
      </w:r>
      <w:r>
        <w:rPr>
          <w:rFonts w:hint="default" w:ascii="Times New Roman" w:hAnsi="Times New Roman" w:eastAsia="方正仿宋_GBK" w:cs="Times New Roman"/>
          <w:color w:val="auto"/>
          <w:spacing w:val="0"/>
          <w:sz w:val="32"/>
          <w:szCs w:val="32"/>
          <w:highlight w:val="none"/>
          <w:lang w:val="en-US" w:eastAsia="zh-CN"/>
        </w:rPr>
        <w:t>发〔202</w:t>
      </w:r>
      <w:r>
        <w:rPr>
          <w:rFonts w:hint="eastAsia" w:ascii="Times New Roman" w:hAnsi="Times New Roman" w:eastAsia="方正仿宋_GBK" w:cs="Times New Roman"/>
          <w:color w:val="auto"/>
          <w:spacing w:val="0"/>
          <w:sz w:val="32"/>
          <w:szCs w:val="32"/>
          <w:highlight w:val="none"/>
          <w:lang w:val="en-US" w:eastAsia="zh-CN"/>
        </w:rPr>
        <w:t>2</w:t>
      </w:r>
      <w:r>
        <w:rPr>
          <w:rFonts w:hint="default" w:ascii="Times New Roman" w:hAnsi="Times New Roman" w:eastAsia="方正仿宋_GBK" w:cs="Times New Roman"/>
          <w:color w:val="auto"/>
          <w:spacing w:val="0"/>
          <w:sz w:val="32"/>
          <w:szCs w:val="32"/>
          <w:highlight w:val="none"/>
          <w:lang w:val="en-US" w:eastAsia="zh-CN"/>
        </w:rPr>
        <w:t>〕</w:t>
      </w:r>
      <w:r>
        <w:rPr>
          <w:rFonts w:hint="eastAsia" w:ascii="Times New Roman" w:hAnsi="Times New Roman" w:eastAsia="方正仿宋_GBK" w:cs="Times New Roman"/>
          <w:color w:val="auto"/>
          <w:spacing w:val="0"/>
          <w:sz w:val="32"/>
          <w:szCs w:val="32"/>
          <w:highlight w:val="none"/>
          <w:lang w:val="en-US" w:eastAsia="zh-CN"/>
        </w:rPr>
        <w:t>12</w:t>
      </w:r>
      <w:r>
        <w:rPr>
          <w:rFonts w:hint="default" w:ascii="Times New Roman" w:hAnsi="Times New Roman" w:eastAsia="方正仿宋_GBK" w:cs="Times New Roman"/>
          <w:color w:val="auto"/>
          <w:spacing w:val="0"/>
          <w:sz w:val="32"/>
          <w:szCs w:val="32"/>
          <w:highlight w:val="none"/>
          <w:lang w:val="en-US" w:eastAsia="zh-CN"/>
        </w:rPr>
        <w:t>号</w:t>
      </w:r>
      <w:r>
        <w:rPr>
          <w:rFonts w:hint="eastAsia" w:ascii="Times New Roman" w:hAnsi="Times New Roman" w:eastAsia="方正仿宋_GBK" w:cs="Times New Roman"/>
          <w:color w:val="auto"/>
          <w:spacing w:val="0"/>
          <w:sz w:val="32"/>
          <w:szCs w:val="32"/>
          <w:highlight w:val="none"/>
          <w:lang w:val="en-US" w:eastAsia="zh-CN"/>
        </w:rPr>
        <w:t>）、自治区人民政府办公厅《新疆维吾尔自治区12345政务服务便民热线与110报警服务台高效对接联动实施方案》（新政办</w:t>
      </w:r>
      <w:r>
        <w:rPr>
          <w:rFonts w:hint="default" w:ascii="Times New Roman" w:hAnsi="Times New Roman" w:eastAsia="方正仿宋_GBK" w:cs="Times New Roman"/>
          <w:color w:val="auto"/>
          <w:spacing w:val="0"/>
          <w:sz w:val="32"/>
          <w:szCs w:val="32"/>
          <w:highlight w:val="none"/>
          <w:lang w:val="en-US" w:eastAsia="zh-CN"/>
        </w:rPr>
        <w:t>发〔202</w:t>
      </w:r>
      <w:r>
        <w:rPr>
          <w:rFonts w:hint="eastAsia" w:ascii="Times New Roman" w:hAnsi="Times New Roman" w:eastAsia="方正仿宋_GBK" w:cs="Times New Roman"/>
          <w:color w:val="auto"/>
          <w:spacing w:val="0"/>
          <w:sz w:val="32"/>
          <w:szCs w:val="32"/>
          <w:highlight w:val="none"/>
          <w:lang w:val="en-US" w:eastAsia="zh-CN"/>
        </w:rPr>
        <w:t>3</w:t>
      </w:r>
      <w:r>
        <w:rPr>
          <w:rFonts w:hint="default" w:ascii="Times New Roman" w:hAnsi="Times New Roman" w:eastAsia="方正仿宋_GBK" w:cs="Times New Roman"/>
          <w:color w:val="auto"/>
          <w:spacing w:val="0"/>
          <w:sz w:val="32"/>
          <w:szCs w:val="32"/>
          <w:highlight w:val="none"/>
          <w:lang w:val="en-US" w:eastAsia="zh-CN"/>
        </w:rPr>
        <w:t>〕</w:t>
      </w:r>
      <w:r>
        <w:rPr>
          <w:rFonts w:hint="eastAsia" w:ascii="Times New Roman" w:hAnsi="Times New Roman" w:eastAsia="方正仿宋_GBK" w:cs="Times New Roman"/>
          <w:color w:val="auto"/>
          <w:spacing w:val="0"/>
          <w:sz w:val="32"/>
          <w:szCs w:val="32"/>
          <w:highlight w:val="none"/>
          <w:lang w:val="en-US" w:eastAsia="zh-CN"/>
        </w:rPr>
        <w:t>2</w:t>
      </w:r>
      <w:r>
        <w:rPr>
          <w:rFonts w:hint="default" w:ascii="Times New Roman" w:hAnsi="Times New Roman" w:eastAsia="方正仿宋_GBK" w:cs="Times New Roman"/>
          <w:color w:val="auto"/>
          <w:spacing w:val="0"/>
          <w:sz w:val="32"/>
          <w:szCs w:val="32"/>
          <w:highlight w:val="none"/>
          <w:lang w:val="en-US" w:eastAsia="zh-CN"/>
        </w:rPr>
        <w:t>号</w:t>
      </w:r>
      <w:r>
        <w:rPr>
          <w:rFonts w:hint="eastAsia" w:ascii="Times New Roman" w:hAnsi="Times New Roman" w:eastAsia="方正仿宋_GBK" w:cs="Times New Roman"/>
          <w:color w:val="auto"/>
          <w:spacing w:val="0"/>
          <w:sz w:val="32"/>
          <w:szCs w:val="32"/>
          <w:highlight w:val="none"/>
          <w:lang w:val="en-US" w:eastAsia="zh-CN"/>
        </w:rPr>
        <w:t>）、《关于印发&lt;自治州</w:t>
      </w:r>
      <w:r>
        <w:rPr>
          <w:rFonts w:hint="default" w:ascii="Times New Roman" w:hAnsi="Times New Roman" w:eastAsia="方正仿宋_GBK" w:cs="Times New Roman"/>
          <w:color w:val="auto"/>
          <w:spacing w:val="0"/>
          <w:sz w:val="32"/>
          <w:szCs w:val="32"/>
          <w:highlight w:val="none"/>
          <w:lang w:val="en-US" w:eastAsia="zh-CN"/>
        </w:rPr>
        <w:t>12345</w:t>
      </w:r>
      <w:r>
        <w:rPr>
          <w:rFonts w:hint="eastAsia" w:ascii="Times New Roman" w:hAnsi="Times New Roman" w:eastAsia="方正仿宋_GBK" w:cs="Times New Roman"/>
          <w:color w:val="auto"/>
          <w:spacing w:val="0"/>
          <w:sz w:val="32"/>
          <w:szCs w:val="32"/>
          <w:highlight w:val="none"/>
          <w:lang w:val="en-US" w:eastAsia="zh-CN"/>
        </w:rPr>
        <w:t>政务服务便民热线与110报警服务台高效对接联动实施方案&gt;的通知》（克政办</w:t>
      </w:r>
      <w:r>
        <w:rPr>
          <w:rFonts w:hint="default" w:ascii="Times New Roman" w:hAnsi="Times New Roman" w:eastAsia="方正仿宋_GBK" w:cs="Times New Roman"/>
          <w:color w:val="auto"/>
          <w:spacing w:val="0"/>
          <w:sz w:val="32"/>
          <w:szCs w:val="32"/>
          <w:highlight w:val="none"/>
          <w:lang w:val="en-US" w:eastAsia="zh-CN"/>
        </w:rPr>
        <w:t>发〔202</w:t>
      </w:r>
      <w:r>
        <w:rPr>
          <w:rFonts w:hint="eastAsia" w:ascii="Times New Roman" w:hAnsi="Times New Roman" w:eastAsia="方正仿宋_GBK" w:cs="Times New Roman"/>
          <w:color w:val="auto"/>
          <w:spacing w:val="0"/>
          <w:sz w:val="32"/>
          <w:szCs w:val="32"/>
          <w:highlight w:val="none"/>
          <w:lang w:val="en-US" w:eastAsia="zh-CN"/>
        </w:rPr>
        <w:t>3</w:t>
      </w:r>
      <w:r>
        <w:rPr>
          <w:rFonts w:hint="default" w:ascii="Times New Roman" w:hAnsi="Times New Roman" w:eastAsia="方正仿宋_GBK" w:cs="Times New Roman"/>
          <w:color w:val="auto"/>
          <w:spacing w:val="0"/>
          <w:sz w:val="32"/>
          <w:szCs w:val="32"/>
          <w:highlight w:val="none"/>
          <w:lang w:val="en-US" w:eastAsia="zh-CN"/>
        </w:rPr>
        <w:t>〕</w:t>
      </w:r>
      <w:r>
        <w:rPr>
          <w:rFonts w:hint="eastAsia" w:ascii="Times New Roman" w:hAnsi="Times New Roman" w:eastAsia="方正仿宋_GBK" w:cs="Times New Roman"/>
          <w:color w:val="auto"/>
          <w:spacing w:val="0"/>
          <w:sz w:val="32"/>
          <w:szCs w:val="32"/>
          <w:highlight w:val="none"/>
          <w:lang w:val="en-US" w:eastAsia="zh-CN"/>
        </w:rPr>
        <w:t>33</w:t>
      </w:r>
      <w:r>
        <w:rPr>
          <w:rFonts w:hint="default" w:ascii="Times New Roman" w:hAnsi="Times New Roman" w:eastAsia="方正仿宋_GBK" w:cs="Times New Roman"/>
          <w:color w:val="auto"/>
          <w:spacing w:val="0"/>
          <w:sz w:val="32"/>
          <w:szCs w:val="32"/>
          <w:highlight w:val="none"/>
          <w:lang w:val="en-US" w:eastAsia="zh-CN"/>
        </w:rPr>
        <w:t>号</w:t>
      </w:r>
      <w:r>
        <w:rPr>
          <w:rFonts w:hint="eastAsia" w:ascii="Times New Roman" w:hAnsi="Times New Roman" w:eastAsia="方正仿宋_GBK" w:cs="Times New Roman"/>
          <w:color w:val="auto"/>
          <w:spacing w:val="0"/>
          <w:sz w:val="32"/>
          <w:szCs w:val="32"/>
          <w:highlight w:val="none"/>
          <w:lang w:val="en-US" w:eastAsia="zh-CN"/>
        </w:rPr>
        <w:t>）要求，加强12345政务服务便民热线（以下简称12345）与110报警服务台（以下简称110）日常联动，形成协同配合、对接机制畅通运行、联动事项快速办理、有效排查民意热点、方便群众一办到底的日常高效对接联动格局，共同接处解决好企业群众诉求，制定本工作机制。</w:t>
      </w:r>
    </w:p>
    <w:p>
      <w:pPr>
        <w:pStyle w:val="6"/>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rPr>
          <w:rFonts w:hint="eastAsia" w:ascii="黑体" w:hAnsi="黑体" w:eastAsia="黑体" w:cs="黑体"/>
          <w:color w:val="auto"/>
          <w:spacing w:val="0"/>
          <w:kern w:val="2"/>
          <w:sz w:val="32"/>
          <w:szCs w:val="32"/>
          <w:highlight w:val="none"/>
          <w:lang w:val="en-US" w:eastAsia="zh-CN" w:bidi="ar-SA"/>
        </w:rPr>
      </w:pPr>
      <w:r>
        <w:rPr>
          <w:rFonts w:hint="eastAsia" w:ascii="黑体" w:hAnsi="黑体" w:eastAsia="黑体" w:cs="黑体"/>
          <w:color w:val="auto"/>
          <w:spacing w:val="0"/>
          <w:kern w:val="2"/>
          <w:sz w:val="32"/>
          <w:szCs w:val="32"/>
          <w:highlight w:val="none"/>
          <w:lang w:val="en-US" w:eastAsia="zh-CN" w:bidi="ar-SA"/>
        </w:rPr>
        <w:t>一、日常联动范围</w:t>
      </w:r>
    </w:p>
    <w:p>
      <w:pPr>
        <w:pStyle w:val="6"/>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12345与110日常联动工作范围为12345与110分别受理范围的事项。12345</w:t>
      </w:r>
      <w:r>
        <w:rPr>
          <w:rFonts w:hint="eastAsia" w:ascii="Times New Roman" w:hAnsi="Times New Roman" w:eastAsia="方正仿宋_GBK" w:cs="Times New Roman"/>
          <w:b/>
          <w:bCs/>
          <w:color w:val="auto"/>
          <w:spacing w:val="0"/>
          <w:kern w:val="2"/>
          <w:sz w:val="32"/>
          <w:szCs w:val="32"/>
          <w:highlight w:val="none"/>
          <w:lang w:val="en-US" w:eastAsia="zh-CN" w:bidi="ar-SA"/>
        </w:rPr>
        <w:t>负责</w:t>
      </w:r>
      <w:r>
        <w:rPr>
          <w:rFonts w:hint="eastAsia" w:ascii="Times New Roman" w:hAnsi="Times New Roman" w:eastAsia="方正仿宋_GBK" w:cs="Times New Roman"/>
          <w:color w:val="auto"/>
          <w:spacing w:val="0"/>
          <w:kern w:val="2"/>
          <w:sz w:val="32"/>
          <w:szCs w:val="32"/>
          <w:highlight w:val="none"/>
          <w:lang w:val="en-US" w:eastAsia="zh-CN" w:bidi="ar-SA"/>
        </w:rPr>
        <w:t>企业和群众反映的涉及行政职权范围内协调处理的各类非紧急诉求，主要包括经济调节、市场监管、社会管理、公共服务、生态环境保护领域的咨询、求助、投诉、举报和意见建议等；110</w:t>
      </w:r>
      <w:r>
        <w:rPr>
          <w:rFonts w:hint="eastAsia" w:ascii="Times New Roman" w:hAnsi="Times New Roman" w:eastAsia="方正仿宋_GBK" w:cs="Times New Roman"/>
          <w:b/>
          <w:bCs/>
          <w:color w:val="auto"/>
          <w:spacing w:val="0"/>
          <w:kern w:val="2"/>
          <w:sz w:val="32"/>
          <w:szCs w:val="32"/>
          <w:highlight w:val="none"/>
          <w:lang w:val="en-US" w:eastAsia="zh-CN" w:bidi="ar-SA"/>
        </w:rPr>
        <w:t>负责</w:t>
      </w:r>
      <w:r>
        <w:rPr>
          <w:rFonts w:hint="eastAsia" w:ascii="Times New Roman" w:hAnsi="Times New Roman" w:eastAsia="方正仿宋_GBK" w:cs="Times New Roman"/>
          <w:color w:val="auto"/>
          <w:spacing w:val="0"/>
          <w:kern w:val="2"/>
          <w:sz w:val="32"/>
          <w:szCs w:val="32"/>
          <w:highlight w:val="none"/>
          <w:lang w:val="en-US" w:eastAsia="zh-CN" w:bidi="ar-SA"/>
        </w:rPr>
        <w:t>刑事类警情、治安类警情、道路交通类警情、危及人身和财产安全或者社会治安秩序的群体性事件以及其他需要公安机关处置的与违法犯罪有关的报警；公共设施险情、灾害事故以及其他危及人身和财产安全、公共安全等需要公安机关参与处置的紧急求助；对公安机关及其人民警察正在发生的违法违纪或失职行为的投诉。</w:t>
      </w:r>
    </w:p>
    <w:p>
      <w:pPr>
        <w:pStyle w:val="6"/>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rPr>
          <w:rFonts w:hint="eastAsia" w:ascii="黑体" w:hAnsi="黑体" w:eastAsia="黑体" w:cs="黑体"/>
          <w:color w:val="auto"/>
          <w:spacing w:val="0"/>
          <w:kern w:val="2"/>
          <w:sz w:val="32"/>
          <w:szCs w:val="32"/>
          <w:highlight w:val="none"/>
          <w:lang w:val="en-US" w:eastAsia="zh-CN" w:bidi="ar-SA"/>
        </w:rPr>
      </w:pPr>
      <w:r>
        <w:rPr>
          <w:rFonts w:hint="eastAsia" w:ascii="黑体" w:hAnsi="黑体" w:eastAsia="黑体" w:cs="黑体"/>
          <w:color w:val="auto"/>
          <w:spacing w:val="0"/>
          <w:kern w:val="2"/>
          <w:sz w:val="32"/>
          <w:szCs w:val="32"/>
          <w:highlight w:val="none"/>
          <w:lang w:val="en-US" w:eastAsia="zh-CN" w:bidi="ar-SA"/>
        </w:rPr>
        <w:t>二、日常联动内容</w:t>
      </w:r>
    </w:p>
    <w:p>
      <w:pPr>
        <w:pStyle w:val="6"/>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（一）12345接到需要公安机关联动处置或先期处置的紧急类事项，应立即通过“一键转接”“三方通话”方式联通110处置。</w:t>
      </w:r>
    </w:p>
    <w:p>
      <w:pPr>
        <w:pStyle w:val="6"/>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（二）110接到明确属于12345受理范围内的诉求时，通过“一键转接”“三方通话”将电话转接12345热线中心接处。</w:t>
      </w:r>
    </w:p>
    <w:p>
      <w:pPr>
        <w:pStyle w:val="6"/>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（三）12345、公安机关通过电话、短信、网络渠道接到明确属于对方受理范围内的非紧急类事项，按照相应机制登记工单（接处警记录单）推送对方受理。</w:t>
      </w:r>
    </w:p>
    <w:p>
      <w:pPr>
        <w:pStyle w:val="6"/>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四）公安机关接处警民警到场发现不属于公安机关但属于12345受理范围的非紧急类诉求，向报警人解释清楚，引导群众拨打12345热线，推送12345热线中心处置或直接联系县政务服务中心负责人协调相关受理单位到场处理问题。</w:t>
      </w:r>
    </w:p>
    <w:p>
      <w:pPr>
        <w:pStyle w:val="6"/>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rPr>
          <w:rFonts w:hint="eastAsia" w:ascii="黑体" w:hAnsi="黑体" w:eastAsia="黑体" w:cs="黑体"/>
          <w:color w:val="auto"/>
          <w:spacing w:val="0"/>
          <w:kern w:val="2"/>
          <w:sz w:val="32"/>
          <w:szCs w:val="32"/>
          <w:highlight w:val="none"/>
          <w:lang w:val="en-US" w:eastAsia="zh-CN" w:bidi="ar-SA"/>
        </w:rPr>
      </w:pPr>
      <w:r>
        <w:rPr>
          <w:rFonts w:hint="eastAsia" w:ascii="黑体" w:hAnsi="黑体" w:eastAsia="黑体" w:cs="黑体"/>
          <w:color w:val="auto"/>
          <w:spacing w:val="0"/>
          <w:kern w:val="2"/>
          <w:sz w:val="32"/>
          <w:szCs w:val="32"/>
          <w:highlight w:val="none"/>
          <w:lang w:val="en-US" w:eastAsia="zh-CN" w:bidi="ar-SA"/>
        </w:rPr>
        <w:t>三、加强协同联动</w:t>
      </w:r>
    </w:p>
    <w:p>
      <w:pPr>
        <w:pStyle w:val="6"/>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（一）政务服务和公共资源交易中心、公安机关明确一名分管领导和一名具体负责干部，负责日常联动工作的沟通协调，确保12345与110日常联动工作高效有序开展。</w:t>
      </w:r>
    </w:p>
    <w:p>
      <w:pPr>
        <w:pStyle w:val="6"/>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二）政务服务和公共资源交易中心、公安机关牵头加强与119、120紧急热线和水、电、气、热、油等专业部门的应急联动，各相关部门确定一名负责领导和一名具体负责干部，常态化开展日常联动工作，对群众困难诉求快速联动处置。人员发生变动的应及时更换报备。</w:t>
      </w:r>
    </w:p>
    <w:p>
      <w:pPr>
        <w:pStyle w:val="6"/>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三）政务服务和公共资源交易中心、公安机关牵头建立对接联动联席会议制度，定期交流、沟通、研究、通报情况，统筹协调相关工作，及时解决对接运行中遇到的各类问题困难，对职责分辨不清、存在管辖争议的事项进行研究会商，联动分析研判。联席会议原则上每季度召开一次例会，遇有重要事项可随时召开，必要时可邀请相关部门（单位）参加，研究解决事项，协同处置存在的问题，对各类疑难复杂事项处置开展会商。</w:t>
      </w:r>
    </w:p>
    <w:p>
      <w:pPr>
        <w:pStyle w:val="6"/>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黑体" w:hAnsi="黑体" w:eastAsia="黑体" w:cs="黑体"/>
          <w:color w:val="auto"/>
          <w:spacing w:val="0"/>
          <w:kern w:val="2"/>
          <w:sz w:val="32"/>
          <w:szCs w:val="32"/>
          <w:highlight w:val="none"/>
          <w:lang w:val="en-US" w:eastAsia="zh-CN" w:bidi="ar-SA"/>
        </w:rPr>
        <w:t>四、日常联动责任</w:t>
      </w:r>
    </w:p>
    <w:p>
      <w:pPr>
        <w:pStyle w:val="6"/>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rPr>
          <w:rFonts w:hint="eastAsia" w:ascii="方正仿宋_GBK" w:hAnsi="方正仿宋_GBK" w:eastAsia="方正仿宋_GBK" w:cs="方正仿宋_GBK"/>
          <w:color w:val="auto"/>
          <w:spacing w:val="0"/>
          <w:sz w:val="32"/>
          <w:szCs w:val="32"/>
          <w:highlight w:val="none"/>
          <w:lang w:val="en-US" w:eastAsia="zh-CN"/>
        </w:rPr>
      </w:pPr>
      <w:r>
        <w:rPr>
          <w:rFonts w:hint="eastAsia" w:ascii="Times New Roman" w:hAnsi="Times New Roman" w:eastAsia="方正仿宋_GBK" w:cs="Times New Roman"/>
          <w:color w:val="auto"/>
          <w:spacing w:val="0"/>
          <w:kern w:val="2"/>
          <w:sz w:val="32"/>
          <w:szCs w:val="32"/>
          <w:highlight w:val="none"/>
          <w:lang w:val="en-US" w:eastAsia="zh-CN" w:bidi="ar-SA"/>
        </w:rPr>
        <w:t>各相关部门应积极响应协调联动工作，收到12345热线工单或110转办工单，尽快进行核实、处理，及时按照“接诉即办”工作机制解决好群众困难诉求，将各类社会矛盾化解在萌芽状态。对于违反本机制情节轻微的，给予通报批评；造成重大工作失误或产生严重后果的，移交派驻纪检组，依规依纪追究责任。</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方正仿宋_GBK" w:hAnsi="方正仿宋_GBK" w:eastAsia="方正仿宋_GBK" w:cs="方正仿宋_GBK"/>
          <w:color w:val="auto"/>
          <w:spacing w:val="0"/>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方正仿宋_GBK" w:hAnsi="方正仿宋_GBK" w:eastAsia="方正仿宋_GBK" w:cs="方正仿宋_GBK"/>
          <w:color w:val="auto"/>
          <w:spacing w:val="0"/>
          <w:sz w:val="32"/>
          <w:szCs w:val="32"/>
          <w:highlight w:val="none"/>
          <w:lang w:val="en-US" w:eastAsia="zh-CN"/>
        </w:rPr>
        <w:t>附件</w:t>
      </w:r>
      <w:r>
        <w:rPr>
          <w:rFonts w:hint="eastAsia" w:ascii="Times New Roman" w:hAnsi="Times New Roman" w:eastAsia="方正仿宋_GBK" w:cs="Times New Roman"/>
          <w:color w:val="auto"/>
          <w:spacing w:val="0"/>
          <w:kern w:val="2"/>
          <w:sz w:val="32"/>
          <w:szCs w:val="32"/>
          <w:highlight w:val="none"/>
          <w:lang w:val="en-US" w:eastAsia="zh-CN" w:bidi="ar-SA"/>
        </w:rPr>
        <w:t>：110报警服务台和12345政务热线转办受理事项清单</w:t>
      </w:r>
    </w:p>
    <w:p>
      <w:pPr>
        <w:pStyle w:val="6"/>
        <w:keepNext w:val="0"/>
        <w:keepLines w:val="0"/>
        <w:pageBreakBefore w:val="0"/>
        <w:widowControl w:val="0"/>
        <w:kinsoku/>
        <w:wordWrap/>
        <w:overflowPunct/>
        <w:topLinePunct w:val="0"/>
        <w:autoSpaceDE/>
        <w:autoSpaceDN/>
        <w:bidi w:val="0"/>
        <w:adjustRightInd/>
        <w:snapToGrid/>
        <w:spacing w:line="578" w:lineRule="exact"/>
        <w:ind w:right="0"/>
        <w:jc w:val="both"/>
        <w:textAlignment w:val="auto"/>
        <w:rPr>
          <w:rFonts w:hint="eastAsia" w:ascii="黑体" w:hAnsi="黑体" w:eastAsia="黑体" w:cs="黑体"/>
          <w:color w:val="auto"/>
          <w:spacing w:val="0"/>
          <w:sz w:val="32"/>
          <w:szCs w:val="32"/>
          <w:highlight w:val="none"/>
          <w:lang w:val="en-US" w:eastAsia="zh-CN"/>
        </w:rPr>
      </w:pPr>
    </w:p>
    <w:p>
      <w:pPr>
        <w:pStyle w:val="7"/>
        <w:numPr>
          <w:ilvl w:val="0"/>
          <w:numId w:val="0"/>
        </w:numPr>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578" w:lineRule="exact"/>
        <w:ind w:right="0"/>
        <w:jc w:val="both"/>
        <w:textAlignment w:val="auto"/>
        <w:rPr>
          <w:rFonts w:hint="eastAsia" w:ascii="黑体" w:hAnsi="黑体" w:eastAsia="黑体" w:cs="黑体"/>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附件：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方正仿宋_GBK" w:hAnsi="方正仿宋_GBK" w:eastAsia="方正仿宋_GBK" w:cs="方正仿宋_GBK"/>
          <w:color w:val="auto"/>
          <w:spacing w:val="0"/>
          <w:sz w:val="32"/>
          <w:szCs w:val="32"/>
          <w:highlight w:val="none"/>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pacing w:val="11"/>
          <w:kern w:val="2"/>
          <w:sz w:val="44"/>
          <w:szCs w:val="44"/>
          <w:highlight w:val="none"/>
          <w:lang w:val="en-US" w:eastAsia="zh-CN" w:bidi="ar-SA"/>
        </w:rPr>
      </w:pPr>
      <w:r>
        <w:rPr>
          <w:rFonts w:hint="default" w:ascii="Times New Roman" w:hAnsi="Times New Roman" w:eastAsia="方正小标宋_GBK" w:cs="Times New Roman"/>
          <w:color w:val="auto"/>
          <w:spacing w:val="11"/>
          <w:kern w:val="2"/>
          <w:sz w:val="44"/>
          <w:szCs w:val="44"/>
          <w:highlight w:val="none"/>
          <w:lang w:val="en-US" w:eastAsia="zh-CN" w:bidi="ar-SA"/>
        </w:rPr>
        <w:t>110</w:t>
      </w:r>
      <w:r>
        <w:rPr>
          <w:rFonts w:hint="eastAsia" w:ascii="方正小标宋_GBK" w:hAnsi="方正小标宋_GBK" w:eastAsia="方正小标宋_GBK" w:cs="方正小标宋_GBK"/>
          <w:color w:val="auto"/>
          <w:spacing w:val="11"/>
          <w:kern w:val="2"/>
          <w:sz w:val="44"/>
          <w:szCs w:val="44"/>
          <w:highlight w:val="none"/>
          <w:lang w:val="en-US" w:eastAsia="zh-CN" w:bidi="ar-SA"/>
        </w:rPr>
        <w:t>报警服务台和</w:t>
      </w:r>
      <w:r>
        <w:rPr>
          <w:rFonts w:hint="default" w:ascii="Times New Roman" w:hAnsi="Times New Roman" w:eastAsia="方正小标宋_GBK" w:cs="Times New Roman"/>
          <w:color w:val="auto"/>
          <w:spacing w:val="11"/>
          <w:kern w:val="2"/>
          <w:sz w:val="44"/>
          <w:szCs w:val="44"/>
          <w:highlight w:val="none"/>
          <w:lang w:val="en-US" w:eastAsia="zh-CN" w:bidi="ar-SA"/>
        </w:rPr>
        <w:t>12345</w:t>
      </w:r>
      <w:r>
        <w:rPr>
          <w:rFonts w:hint="eastAsia" w:ascii="方正小标宋_GBK" w:hAnsi="方正小标宋_GBK" w:eastAsia="方正小标宋_GBK" w:cs="方正小标宋_GBK"/>
          <w:color w:val="auto"/>
          <w:spacing w:val="11"/>
          <w:kern w:val="2"/>
          <w:sz w:val="44"/>
          <w:szCs w:val="44"/>
          <w:highlight w:val="none"/>
          <w:lang w:val="en-US" w:eastAsia="zh-CN" w:bidi="ar-SA"/>
        </w:rPr>
        <w:t>政务热线</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color w:val="auto"/>
          <w:spacing w:val="11"/>
          <w:kern w:val="2"/>
          <w:sz w:val="32"/>
          <w:szCs w:val="32"/>
          <w:highlight w:val="none"/>
          <w:lang w:val="en-US" w:eastAsia="zh-CN" w:bidi="ar-SA"/>
        </w:rPr>
      </w:pPr>
      <w:r>
        <w:rPr>
          <w:rFonts w:hint="eastAsia" w:ascii="方正小标宋_GBK" w:hAnsi="方正小标宋_GBK" w:eastAsia="方正小标宋_GBK" w:cs="方正小标宋_GBK"/>
          <w:color w:val="auto"/>
          <w:spacing w:val="11"/>
          <w:kern w:val="2"/>
          <w:sz w:val="44"/>
          <w:szCs w:val="44"/>
          <w:highlight w:val="none"/>
          <w:lang w:val="en-US" w:eastAsia="zh-CN" w:bidi="ar-SA"/>
        </w:rPr>
        <w:t>转办受理事项清单</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方正仿宋_GBK" w:hAnsi="方正仿宋_GBK" w:eastAsia="方正仿宋_GBK" w:cs="方正仿宋_GBK"/>
          <w:color w:val="auto"/>
          <w:spacing w:val="0"/>
          <w:sz w:val="32"/>
          <w:szCs w:val="32"/>
          <w:highlight w:val="none"/>
          <w:lang w:val="en-US" w:eastAsia="zh-CN"/>
        </w:rPr>
      </w:pP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84" w:firstLineChars="200"/>
        <w:textAlignment w:val="auto"/>
        <w:outlineLvl w:val="9"/>
        <w:rPr>
          <w:rFonts w:hint="eastAsia" w:ascii="Times New Roman" w:hAnsi="Times New Roman" w:eastAsia="方正仿宋_GBK" w:cs="Times New Roman"/>
          <w:color w:val="auto"/>
          <w:spacing w:val="11"/>
          <w:kern w:val="2"/>
          <w:sz w:val="32"/>
          <w:szCs w:val="32"/>
          <w:highlight w:val="none"/>
          <w:lang w:val="en-US" w:eastAsia="zh-CN" w:bidi="ar-SA"/>
        </w:rPr>
      </w:pPr>
      <w:r>
        <w:rPr>
          <w:rFonts w:hint="eastAsia" w:ascii="黑体" w:hAnsi="黑体" w:eastAsia="黑体" w:cs="黑体"/>
          <w:color w:val="auto"/>
          <w:spacing w:val="11"/>
          <w:kern w:val="2"/>
          <w:sz w:val="32"/>
          <w:szCs w:val="32"/>
          <w:highlight w:val="none"/>
          <w:lang w:val="en-US" w:eastAsia="zh-CN" w:bidi="ar-SA"/>
        </w:rPr>
        <w:t>一、</w:t>
      </w:r>
      <w:r>
        <w:rPr>
          <w:rFonts w:hint="default" w:ascii="Times New Roman" w:hAnsi="Times New Roman" w:eastAsia="黑体" w:cs="Times New Roman"/>
          <w:color w:val="auto"/>
          <w:spacing w:val="11"/>
          <w:kern w:val="2"/>
          <w:sz w:val="32"/>
          <w:szCs w:val="32"/>
          <w:highlight w:val="none"/>
          <w:lang w:val="en-US" w:eastAsia="zh-CN" w:bidi="ar-SA"/>
        </w:rPr>
        <w:t>110</w:t>
      </w:r>
      <w:r>
        <w:rPr>
          <w:rFonts w:hint="eastAsia" w:ascii="黑体" w:hAnsi="黑体" w:eastAsia="黑体" w:cs="黑体"/>
          <w:color w:val="auto"/>
          <w:spacing w:val="11"/>
          <w:kern w:val="2"/>
          <w:sz w:val="32"/>
          <w:szCs w:val="32"/>
          <w:highlight w:val="none"/>
          <w:lang w:val="en-US" w:eastAsia="zh-CN" w:bidi="ar-SA"/>
        </w:rPr>
        <w:t>报警服务台接转</w:t>
      </w:r>
      <w:r>
        <w:rPr>
          <w:rFonts w:hint="default" w:ascii="Times New Roman" w:hAnsi="Times New Roman" w:eastAsia="黑体" w:cs="Times New Roman"/>
          <w:color w:val="auto"/>
          <w:spacing w:val="11"/>
          <w:kern w:val="2"/>
          <w:sz w:val="32"/>
          <w:szCs w:val="32"/>
          <w:highlight w:val="none"/>
          <w:lang w:val="en-US" w:eastAsia="zh-CN" w:bidi="ar-SA"/>
        </w:rPr>
        <w:t>12345</w:t>
      </w:r>
      <w:r>
        <w:rPr>
          <w:rFonts w:hint="eastAsia" w:ascii="黑体" w:hAnsi="黑体" w:eastAsia="黑体" w:cs="黑体"/>
          <w:color w:val="auto"/>
          <w:spacing w:val="11"/>
          <w:kern w:val="2"/>
          <w:sz w:val="32"/>
          <w:szCs w:val="32"/>
          <w:highlight w:val="none"/>
          <w:lang w:val="en-US" w:eastAsia="zh-CN" w:bidi="ar-SA"/>
        </w:rPr>
        <w:t>政务热线受理事项</w:t>
      </w:r>
    </w:p>
    <w:p>
      <w:pPr>
        <w:keepNext w:val="0"/>
        <w:keepLines w:val="0"/>
        <w:pageBreakBefore w:val="0"/>
        <w:widowControl w:val="0"/>
        <w:numPr>
          <w:ilvl w:val="0"/>
          <w:numId w:val="2"/>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一般类的路边占道经营、违规饲养宠物或流浪犬、建筑工地夜间施工或渣土车抛洒滴漏以及人行道违法停车等；</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43"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b/>
          <w:bCs/>
          <w:color w:val="auto"/>
          <w:spacing w:val="0"/>
          <w:kern w:val="2"/>
          <w:sz w:val="32"/>
          <w:szCs w:val="32"/>
          <w:highlight w:val="none"/>
          <w:lang w:val="en-US" w:eastAsia="zh-CN" w:bidi="ar-SA"/>
        </w:rPr>
        <w:t>责任单位：</w:t>
      </w:r>
      <w:r>
        <w:rPr>
          <w:rFonts w:hint="eastAsia" w:ascii="Times New Roman" w:hAnsi="Times New Roman" w:eastAsia="方正仿宋_GBK" w:cs="Times New Roman"/>
          <w:color w:val="auto"/>
          <w:spacing w:val="0"/>
          <w:kern w:val="2"/>
          <w:sz w:val="32"/>
          <w:szCs w:val="32"/>
          <w:highlight w:val="none"/>
          <w:lang w:val="en-US" w:eastAsia="zh-CN" w:bidi="ar-SA"/>
        </w:rPr>
        <w:t>住建局</w:t>
      </w:r>
    </w:p>
    <w:p>
      <w:pPr>
        <w:keepNext w:val="0"/>
        <w:keepLines w:val="0"/>
        <w:pageBreakBefore w:val="0"/>
        <w:widowControl w:val="0"/>
        <w:numPr>
          <w:ilvl w:val="0"/>
          <w:numId w:val="2"/>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无现场或非现</w:t>
      </w:r>
      <w:r>
        <w:rPr>
          <w:rFonts w:hint="eastAsia" w:eastAsia="方正仿宋_GBK" w:cs="Times New Roman"/>
          <w:color w:val="auto"/>
          <w:spacing w:val="0"/>
          <w:kern w:val="2"/>
          <w:sz w:val="32"/>
          <w:szCs w:val="32"/>
          <w:highlight w:val="none"/>
          <w:lang w:val="en-US" w:eastAsia="zh-CN" w:bidi="ar-SA"/>
        </w:rPr>
        <w:t>场</w:t>
      </w:r>
      <w:r>
        <w:rPr>
          <w:rFonts w:hint="eastAsia" w:ascii="Times New Roman" w:hAnsi="Times New Roman" w:eastAsia="方正仿宋_GBK" w:cs="Times New Roman"/>
          <w:color w:val="auto"/>
          <w:spacing w:val="0"/>
          <w:kern w:val="2"/>
          <w:sz w:val="32"/>
          <w:szCs w:val="32"/>
          <w:highlight w:val="none"/>
          <w:lang w:val="en-US" w:eastAsia="zh-CN" w:bidi="ar-SA"/>
        </w:rPr>
        <w:t>发生的劳资纠纷、工伤鉴定等；</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43"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b/>
          <w:bCs/>
          <w:color w:val="auto"/>
          <w:spacing w:val="0"/>
          <w:kern w:val="2"/>
          <w:sz w:val="32"/>
          <w:szCs w:val="32"/>
          <w:highlight w:val="none"/>
          <w:lang w:val="en-US" w:eastAsia="zh-CN" w:bidi="ar-SA"/>
        </w:rPr>
        <w:t>责任单位：</w:t>
      </w:r>
      <w:r>
        <w:rPr>
          <w:rFonts w:hint="eastAsia" w:ascii="Times New Roman" w:hAnsi="Times New Roman" w:eastAsia="方正仿宋_GBK" w:cs="Times New Roman"/>
          <w:color w:val="auto"/>
          <w:spacing w:val="0"/>
          <w:kern w:val="2"/>
          <w:sz w:val="32"/>
          <w:szCs w:val="32"/>
          <w:highlight w:val="none"/>
          <w:lang w:val="en-US" w:eastAsia="zh-CN" w:bidi="ar-SA"/>
        </w:rPr>
        <w:t>人社局</w:t>
      </w:r>
    </w:p>
    <w:p>
      <w:pPr>
        <w:keepNext w:val="0"/>
        <w:keepLines w:val="0"/>
        <w:pageBreakBefore w:val="0"/>
        <w:widowControl w:val="0"/>
        <w:numPr>
          <w:ilvl w:val="0"/>
          <w:numId w:val="2"/>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一般类的消费纠纷或举报无证照经营、售卖进入流通领域的未经检验检疫的食品等；</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43"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b/>
          <w:bCs/>
          <w:color w:val="auto"/>
          <w:spacing w:val="0"/>
          <w:kern w:val="2"/>
          <w:sz w:val="32"/>
          <w:szCs w:val="32"/>
          <w:highlight w:val="none"/>
          <w:lang w:val="en-US" w:eastAsia="zh-CN" w:bidi="ar-SA"/>
        </w:rPr>
        <w:t>责任单位：</w:t>
      </w:r>
      <w:r>
        <w:rPr>
          <w:rFonts w:hint="eastAsia" w:ascii="Times New Roman" w:hAnsi="Times New Roman" w:eastAsia="方正仿宋_GBK" w:cs="Times New Roman"/>
          <w:color w:val="auto"/>
          <w:spacing w:val="0"/>
          <w:kern w:val="2"/>
          <w:sz w:val="32"/>
          <w:szCs w:val="32"/>
          <w:highlight w:val="none"/>
          <w:lang w:val="en-US" w:eastAsia="zh-CN" w:bidi="ar-SA"/>
        </w:rPr>
        <w:t>市场监督管理局</w:t>
      </w:r>
    </w:p>
    <w:p>
      <w:pPr>
        <w:keepNext w:val="0"/>
        <w:keepLines w:val="0"/>
        <w:pageBreakBefore w:val="0"/>
        <w:widowControl w:val="0"/>
        <w:numPr>
          <w:ilvl w:val="0"/>
          <w:numId w:val="2"/>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一般类的物品遗失在出租车上的报警或非现场举报无证营运车辆等；</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43"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b/>
          <w:bCs/>
          <w:color w:val="auto"/>
          <w:spacing w:val="0"/>
          <w:kern w:val="2"/>
          <w:sz w:val="32"/>
          <w:szCs w:val="32"/>
          <w:highlight w:val="none"/>
          <w:lang w:val="en-US" w:eastAsia="zh-CN" w:bidi="ar-SA"/>
        </w:rPr>
        <w:t>责任单位：</w:t>
      </w:r>
      <w:r>
        <w:rPr>
          <w:rFonts w:hint="eastAsia" w:ascii="Times New Roman" w:hAnsi="Times New Roman" w:eastAsia="方正仿宋_GBK" w:cs="Times New Roman"/>
          <w:color w:val="auto"/>
          <w:spacing w:val="0"/>
          <w:kern w:val="2"/>
          <w:sz w:val="32"/>
          <w:szCs w:val="32"/>
          <w:highlight w:val="none"/>
          <w:lang w:val="en-US" w:eastAsia="zh-CN" w:bidi="ar-SA"/>
        </w:rPr>
        <w:t>交通运输局</w:t>
      </w:r>
    </w:p>
    <w:p>
      <w:pPr>
        <w:keepNext w:val="0"/>
        <w:keepLines w:val="0"/>
        <w:pageBreakBefore w:val="0"/>
        <w:widowControl w:val="0"/>
        <w:numPr>
          <w:ilvl w:val="0"/>
          <w:numId w:val="2"/>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一般类的举报产品质量、价格欺诈类等；</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43"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b/>
          <w:bCs/>
          <w:color w:val="auto"/>
          <w:spacing w:val="0"/>
          <w:kern w:val="2"/>
          <w:sz w:val="32"/>
          <w:szCs w:val="32"/>
          <w:highlight w:val="none"/>
          <w:lang w:val="en-US" w:eastAsia="zh-CN" w:bidi="ar-SA"/>
        </w:rPr>
        <w:t>责任单位：</w:t>
      </w:r>
      <w:r>
        <w:rPr>
          <w:rFonts w:hint="eastAsia" w:ascii="Times New Roman" w:hAnsi="Times New Roman" w:eastAsia="方正仿宋_GBK" w:cs="Times New Roman"/>
          <w:color w:val="auto"/>
          <w:spacing w:val="0"/>
          <w:kern w:val="2"/>
          <w:sz w:val="32"/>
          <w:szCs w:val="32"/>
          <w:highlight w:val="none"/>
          <w:lang w:val="en-US" w:eastAsia="zh-CN" w:bidi="ar-SA"/>
        </w:rPr>
        <w:t>市场监督管理局</w:t>
      </w:r>
    </w:p>
    <w:p>
      <w:pPr>
        <w:keepNext w:val="0"/>
        <w:keepLines w:val="0"/>
        <w:pageBreakBefore w:val="0"/>
        <w:widowControl w:val="0"/>
        <w:numPr>
          <w:ilvl w:val="0"/>
          <w:numId w:val="2"/>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一般类的举报生产工业噪音、环境污染线索等；</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43"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b/>
          <w:bCs/>
          <w:color w:val="auto"/>
          <w:spacing w:val="0"/>
          <w:kern w:val="2"/>
          <w:sz w:val="32"/>
          <w:szCs w:val="32"/>
          <w:highlight w:val="none"/>
          <w:lang w:val="en-US" w:eastAsia="zh-CN" w:bidi="ar-SA"/>
        </w:rPr>
        <w:t>责任单位：</w:t>
      </w:r>
      <w:r>
        <w:rPr>
          <w:rFonts w:hint="eastAsia" w:ascii="Times New Roman" w:hAnsi="Times New Roman" w:eastAsia="方正仿宋_GBK" w:cs="Times New Roman"/>
          <w:color w:val="auto"/>
          <w:spacing w:val="0"/>
          <w:kern w:val="2"/>
          <w:sz w:val="32"/>
          <w:szCs w:val="32"/>
          <w:highlight w:val="none"/>
          <w:lang w:val="en-US" w:eastAsia="zh-CN" w:bidi="ar-SA"/>
        </w:rPr>
        <w:t>市监局、生态环境局</w:t>
      </w:r>
    </w:p>
    <w:p>
      <w:pPr>
        <w:keepNext w:val="0"/>
        <w:keepLines w:val="0"/>
        <w:pageBreakBefore w:val="0"/>
        <w:widowControl w:val="0"/>
        <w:numPr>
          <w:ilvl w:val="0"/>
          <w:numId w:val="2"/>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因生活困难或没钱看病向政府部门求助的，属于民政部门管辖的事项；</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43"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b/>
          <w:bCs/>
          <w:color w:val="auto"/>
          <w:spacing w:val="0"/>
          <w:kern w:val="2"/>
          <w:sz w:val="32"/>
          <w:szCs w:val="32"/>
          <w:highlight w:val="none"/>
          <w:lang w:val="en-US" w:eastAsia="zh-CN" w:bidi="ar-SA"/>
        </w:rPr>
        <w:t>责任单位：</w:t>
      </w:r>
      <w:r>
        <w:rPr>
          <w:rFonts w:hint="eastAsia" w:ascii="Times New Roman" w:hAnsi="Times New Roman" w:eastAsia="方正仿宋_GBK" w:cs="Times New Roman"/>
          <w:color w:val="auto"/>
          <w:spacing w:val="0"/>
          <w:kern w:val="2"/>
          <w:sz w:val="32"/>
          <w:szCs w:val="32"/>
          <w:highlight w:val="none"/>
          <w:lang w:val="en-US" w:eastAsia="zh-CN" w:bidi="ar-SA"/>
        </w:rPr>
        <w:t>民政局、辖区乡镇人民政府</w:t>
      </w:r>
    </w:p>
    <w:p>
      <w:pPr>
        <w:keepNext w:val="0"/>
        <w:keepLines w:val="0"/>
        <w:pageBreakBefore w:val="0"/>
        <w:widowControl w:val="0"/>
        <w:numPr>
          <w:ilvl w:val="0"/>
          <w:numId w:val="2"/>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一般类的举报生产劳动作业安全隐患的事项；</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43"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b/>
          <w:bCs/>
          <w:color w:val="auto"/>
          <w:spacing w:val="0"/>
          <w:kern w:val="2"/>
          <w:sz w:val="32"/>
          <w:szCs w:val="32"/>
          <w:highlight w:val="none"/>
          <w:lang w:val="en-US" w:eastAsia="zh-CN" w:bidi="ar-SA"/>
        </w:rPr>
        <w:t>责任单位：</w:t>
      </w:r>
      <w:r>
        <w:rPr>
          <w:rFonts w:hint="eastAsia" w:ascii="Times New Roman" w:hAnsi="Times New Roman" w:eastAsia="方正仿宋_GBK" w:cs="Times New Roman"/>
          <w:color w:val="auto"/>
          <w:spacing w:val="0"/>
          <w:kern w:val="2"/>
          <w:sz w:val="32"/>
          <w:szCs w:val="32"/>
          <w:highlight w:val="none"/>
          <w:lang w:val="en-US" w:eastAsia="zh-CN" w:bidi="ar-SA"/>
        </w:rPr>
        <w:t>行业主管部门</w:t>
      </w:r>
    </w:p>
    <w:p>
      <w:pPr>
        <w:keepNext w:val="0"/>
        <w:keepLines w:val="0"/>
        <w:pageBreakBefore w:val="0"/>
        <w:widowControl w:val="0"/>
        <w:numPr>
          <w:ilvl w:val="0"/>
          <w:numId w:val="2"/>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举报电捕鱼、非法用网捕鱼等事项；</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43"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b/>
          <w:bCs/>
          <w:color w:val="auto"/>
          <w:spacing w:val="0"/>
          <w:kern w:val="2"/>
          <w:sz w:val="32"/>
          <w:szCs w:val="32"/>
          <w:highlight w:val="none"/>
          <w:lang w:val="en-US" w:eastAsia="zh-CN" w:bidi="ar-SA"/>
        </w:rPr>
        <w:t>责任单位：</w:t>
      </w:r>
      <w:r>
        <w:rPr>
          <w:rFonts w:hint="eastAsia" w:ascii="Times New Roman" w:hAnsi="Times New Roman" w:eastAsia="方正仿宋_GBK" w:cs="Times New Roman"/>
          <w:color w:val="auto"/>
          <w:spacing w:val="0"/>
          <w:kern w:val="2"/>
          <w:sz w:val="32"/>
          <w:szCs w:val="32"/>
          <w:highlight w:val="none"/>
          <w:lang w:val="en-US" w:eastAsia="zh-CN" w:bidi="ar-SA"/>
        </w:rPr>
        <w:t>农业农村局</w:t>
      </w:r>
    </w:p>
    <w:p>
      <w:pPr>
        <w:keepNext w:val="0"/>
        <w:keepLines w:val="0"/>
        <w:pageBreakBefore w:val="0"/>
        <w:widowControl w:val="0"/>
        <w:numPr>
          <w:ilvl w:val="0"/>
          <w:numId w:val="2"/>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举报非法行医、无证行医、医托等事项；</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43"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b/>
          <w:bCs/>
          <w:color w:val="auto"/>
          <w:spacing w:val="0"/>
          <w:kern w:val="2"/>
          <w:sz w:val="32"/>
          <w:szCs w:val="32"/>
          <w:highlight w:val="none"/>
          <w:lang w:val="en-US" w:eastAsia="zh-CN" w:bidi="ar-SA"/>
        </w:rPr>
        <w:t>责任单位：</w:t>
      </w:r>
      <w:r>
        <w:rPr>
          <w:rFonts w:hint="eastAsia" w:ascii="Times New Roman" w:hAnsi="Times New Roman" w:eastAsia="方正仿宋_GBK" w:cs="Times New Roman"/>
          <w:color w:val="auto"/>
          <w:spacing w:val="0"/>
          <w:kern w:val="2"/>
          <w:sz w:val="32"/>
          <w:szCs w:val="32"/>
          <w:highlight w:val="none"/>
          <w:lang w:val="en-US" w:eastAsia="zh-CN" w:bidi="ar-SA"/>
        </w:rPr>
        <w:t>卫健委</w:t>
      </w:r>
    </w:p>
    <w:p>
      <w:pPr>
        <w:keepNext w:val="0"/>
        <w:keepLines w:val="0"/>
        <w:pageBreakBefore w:val="0"/>
        <w:widowControl w:val="0"/>
        <w:numPr>
          <w:ilvl w:val="0"/>
          <w:numId w:val="2"/>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举报未成年人上网、未经审批进行商业表演等；</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43"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b/>
          <w:bCs/>
          <w:color w:val="auto"/>
          <w:spacing w:val="0"/>
          <w:kern w:val="2"/>
          <w:sz w:val="32"/>
          <w:szCs w:val="32"/>
          <w:highlight w:val="none"/>
          <w:lang w:val="en-US" w:eastAsia="zh-CN" w:bidi="ar-SA"/>
        </w:rPr>
        <w:t>责任单位：</w:t>
      </w:r>
      <w:r>
        <w:rPr>
          <w:rFonts w:hint="eastAsia" w:ascii="Times New Roman" w:hAnsi="Times New Roman" w:eastAsia="方正仿宋_GBK" w:cs="Times New Roman"/>
          <w:color w:val="auto"/>
          <w:spacing w:val="0"/>
          <w:kern w:val="2"/>
          <w:sz w:val="32"/>
          <w:szCs w:val="32"/>
          <w:highlight w:val="none"/>
          <w:lang w:val="en-US" w:eastAsia="zh-CN" w:bidi="ar-SA"/>
        </w:rPr>
        <w:t>文旅局</w:t>
      </w:r>
    </w:p>
    <w:p>
      <w:pPr>
        <w:keepNext w:val="0"/>
        <w:keepLines w:val="0"/>
        <w:pageBreakBefore w:val="0"/>
        <w:widowControl w:val="0"/>
        <w:numPr>
          <w:ilvl w:val="0"/>
          <w:numId w:val="2"/>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举报无证售卖烟草类专卖品或售卖假冒烟草类专卖品事项；</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43"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b/>
          <w:bCs/>
          <w:color w:val="auto"/>
          <w:spacing w:val="0"/>
          <w:kern w:val="2"/>
          <w:sz w:val="32"/>
          <w:szCs w:val="32"/>
          <w:highlight w:val="none"/>
          <w:lang w:val="en-US" w:eastAsia="zh-CN" w:bidi="ar-SA"/>
        </w:rPr>
        <w:t>责任单位：</w:t>
      </w:r>
      <w:r>
        <w:rPr>
          <w:rFonts w:hint="eastAsia" w:eastAsia="方正仿宋_GBK" w:cs="Times New Roman"/>
          <w:color w:val="auto"/>
          <w:spacing w:val="0"/>
          <w:kern w:val="2"/>
          <w:sz w:val="32"/>
          <w:szCs w:val="32"/>
          <w:highlight w:val="none"/>
          <w:lang w:val="en-US" w:eastAsia="zh-CN" w:bidi="ar-SA"/>
        </w:rPr>
        <w:t>烟草专卖</w:t>
      </w:r>
      <w:r>
        <w:rPr>
          <w:rFonts w:hint="eastAsia" w:ascii="Times New Roman" w:hAnsi="Times New Roman" w:eastAsia="方正仿宋_GBK" w:cs="Times New Roman"/>
          <w:color w:val="auto"/>
          <w:spacing w:val="0"/>
          <w:kern w:val="2"/>
          <w:sz w:val="32"/>
          <w:szCs w:val="32"/>
          <w:highlight w:val="none"/>
          <w:lang w:val="en-US" w:eastAsia="zh-CN" w:bidi="ar-SA"/>
        </w:rPr>
        <w:t>局</w:t>
      </w:r>
    </w:p>
    <w:p>
      <w:pPr>
        <w:keepNext w:val="0"/>
        <w:keepLines w:val="0"/>
        <w:pageBreakBefore w:val="0"/>
        <w:widowControl w:val="0"/>
        <w:numPr>
          <w:ilvl w:val="0"/>
          <w:numId w:val="2"/>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进行法律咨询或要求法律援助的事项；</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43"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b/>
          <w:bCs/>
          <w:color w:val="auto"/>
          <w:spacing w:val="0"/>
          <w:kern w:val="2"/>
          <w:sz w:val="32"/>
          <w:szCs w:val="32"/>
          <w:highlight w:val="none"/>
          <w:lang w:val="en-US" w:eastAsia="zh-CN" w:bidi="ar-SA"/>
        </w:rPr>
        <w:t>责任单位：</w:t>
      </w:r>
      <w:r>
        <w:rPr>
          <w:rFonts w:hint="eastAsia" w:ascii="Times New Roman" w:hAnsi="Times New Roman" w:eastAsia="方正仿宋_GBK" w:cs="Times New Roman"/>
          <w:color w:val="auto"/>
          <w:spacing w:val="0"/>
          <w:kern w:val="2"/>
          <w:sz w:val="32"/>
          <w:szCs w:val="32"/>
          <w:highlight w:val="none"/>
          <w:lang w:val="en-US" w:eastAsia="zh-CN" w:bidi="ar-SA"/>
        </w:rPr>
        <w:t>司法局</w:t>
      </w:r>
    </w:p>
    <w:p>
      <w:pPr>
        <w:keepNext w:val="0"/>
        <w:keepLines w:val="0"/>
        <w:pageBreakBefore w:val="0"/>
        <w:widowControl w:val="0"/>
        <w:numPr>
          <w:ilvl w:val="0"/>
          <w:numId w:val="2"/>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举报偷挖矿石或违法占用宅基地的事项；</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43"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b/>
          <w:bCs/>
          <w:color w:val="auto"/>
          <w:spacing w:val="0"/>
          <w:kern w:val="2"/>
          <w:sz w:val="32"/>
          <w:szCs w:val="32"/>
          <w:highlight w:val="none"/>
          <w:lang w:val="en-US" w:eastAsia="zh-CN" w:bidi="ar-SA"/>
        </w:rPr>
        <w:t>责任单位：</w:t>
      </w:r>
      <w:r>
        <w:rPr>
          <w:rFonts w:hint="eastAsia" w:ascii="Times New Roman" w:hAnsi="Times New Roman" w:eastAsia="方正仿宋_GBK" w:cs="Times New Roman"/>
          <w:color w:val="auto"/>
          <w:spacing w:val="0"/>
          <w:kern w:val="2"/>
          <w:sz w:val="32"/>
          <w:szCs w:val="32"/>
          <w:highlight w:val="none"/>
          <w:lang w:val="en-US" w:eastAsia="zh-CN" w:bidi="ar-SA"/>
        </w:rPr>
        <w:t>自然资源局</w:t>
      </w:r>
    </w:p>
    <w:p>
      <w:pPr>
        <w:keepNext w:val="0"/>
        <w:keepLines w:val="0"/>
        <w:pageBreakBefore w:val="0"/>
        <w:widowControl w:val="0"/>
        <w:numPr>
          <w:ilvl w:val="0"/>
          <w:numId w:val="2"/>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对拆迁、拆违或其他政府决策不满需要向有关部门反</w:t>
      </w:r>
      <w:r>
        <w:rPr>
          <w:rFonts w:hint="eastAsia" w:eastAsia="方正仿宋_GBK" w:cs="Times New Roman"/>
          <w:color w:val="auto"/>
          <w:spacing w:val="0"/>
          <w:kern w:val="2"/>
          <w:sz w:val="32"/>
          <w:szCs w:val="32"/>
          <w:highlight w:val="none"/>
          <w:lang w:val="en-US" w:eastAsia="zh-CN" w:bidi="ar-SA"/>
        </w:rPr>
        <w:t>映</w:t>
      </w:r>
      <w:r>
        <w:rPr>
          <w:rFonts w:hint="eastAsia" w:ascii="Times New Roman" w:hAnsi="Times New Roman" w:eastAsia="方正仿宋_GBK" w:cs="Times New Roman"/>
          <w:color w:val="auto"/>
          <w:spacing w:val="0"/>
          <w:kern w:val="2"/>
          <w:sz w:val="32"/>
          <w:szCs w:val="32"/>
          <w:highlight w:val="none"/>
          <w:lang w:val="en-US" w:eastAsia="zh-CN" w:bidi="ar-SA"/>
        </w:rPr>
        <w:t>的事项；</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43"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b/>
          <w:bCs/>
          <w:color w:val="auto"/>
          <w:spacing w:val="0"/>
          <w:kern w:val="2"/>
          <w:sz w:val="32"/>
          <w:szCs w:val="32"/>
          <w:highlight w:val="none"/>
          <w:lang w:val="en-US" w:eastAsia="zh-CN" w:bidi="ar-SA"/>
        </w:rPr>
        <w:t>责任单位：</w:t>
      </w:r>
      <w:r>
        <w:rPr>
          <w:rFonts w:hint="eastAsia" w:ascii="Times New Roman" w:hAnsi="Times New Roman" w:eastAsia="方正仿宋_GBK" w:cs="Times New Roman"/>
          <w:color w:val="auto"/>
          <w:spacing w:val="0"/>
          <w:kern w:val="2"/>
          <w:sz w:val="32"/>
          <w:szCs w:val="32"/>
          <w:highlight w:val="none"/>
          <w:lang w:val="en-US" w:eastAsia="zh-CN" w:bidi="ar-SA"/>
        </w:rPr>
        <w:t>住建局</w:t>
      </w:r>
    </w:p>
    <w:p>
      <w:pPr>
        <w:keepNext w:val="0"/>
        <w:keepLines w:val="0"/>
        <w:pageBreakBefore w:val="0"/>
        <w:widowControl w:val="0"/>
        <w:numPr>
          <w:ilvl w:val="0"/>
          <w:numId w:val="2"/>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对政府部门（除公安机关以外）的行政处罚或其他</w:t>
      </w:r>
      <w:r>
        <w:rPr>
          <w:rFonts w:hint="eastAsia" w:ascii="Times New Roman" w:hAnsi="Times New Roman" w:eastAsia="方正仿宋_GBK" w:cs="Times New Roman"/>
          <w:color w:val="auto"/>
          <w:spacing w:val="-6"/>
          <w:kern w:val="2"/>
          <w:sz w:val="32"/>
          <w:szCs w:val="32"/>
          <w:highlight w:val="none"/>
          <w:lang w:val="en-US" w:eastAsia="zh-CN" w:bidi="ar-SA"/>
        </w:rPr>
        <w:t>行政行为不满或投诉政府部门工作人员（除公安机关以外）的事项；</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43"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b/>
          <w:bCs/>
          <w:color w:val="auto"/>
          <w:spacing w:val="0"/>
          <w:kern w:val="2"/>
          <w:sz w:val="32"/>
          <w:szCs w:val="32"/>
          <w:highlight w:val="none"/>
          <w:lang w:val="en-US" w:eastAsia="zh-CN" w:bidi="ar-SA"/>
        </w:rPr>
        <w:t>责任单位：</w:t>
      </w:r>
      <w:r>
        <w:rPr>
          <w:rFonts w:hint="eastAsia" w:ascii="Times New Roman" w:hAnsi="Times New Roman" w:eastAsia="方正仿宋_GBK" w:cs="Times New Roman"/>
          <w:color w:val="auto"/>
          <w:spacing w:val="0"/>
          <w:kern w:val="2"/>
          <w:sz w:val="32"/>
          <w:szCs w:val="32"/>
          <w:highlight w:val="none"/>
          <w:lang w:val="en-US" w:eastAsia="zh-CN" w:bidi="ar-SA"/>
        </w:rPr>
        <w:t>各相关部门</w:t>
      </w:r>
    </w:p>
    <w:p>
      <w:pPr>
        <w:keepNext w:val="0"/>
        <w:keepLines w:val="0"/>
        <w:pageBreakBefore w:val="0"/>
        <w:widowControl w:val="0"/>
        <w:numPr>
          <w:ilvl w:val="0"/>
          <w:numId w:val="2"/>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政务信息咨询（各级人民政府工作职责、政策法规、办事流程、执法程序、依申请和非依申请政府服务事项等政务信息咨询）；</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43"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b/>
          <w:bCs/>
          <w:color w:val="auto"/>
          <w:spacing w:val="0"/>
          <w:kern w:val="2"/>
          <w:sz w:val="32"/>
          <w:szCs w:val="32"/>
          <w:highlight w:val="none"/>
          <w:lang w:val="en-US" w:eastAsia="zh-CN" w:bidi="ar-SA"/>
        </w:rPr>
        <w:t>责任单位：</w:t>
      </w:r>
      <w:r>
        <w:rPr>
          <w:rFonts w:hint="eastAsia" w:ascii="Times New Roman" w:hAnsi="Times New Roman" w:eastAsia="方正仿宋_GBK" w:cs="Times New Roman"/>
          <w:color w:val="auto"/>
          <w:spacing w:val="0"/>
          <w:kern w:val="2"/>
          <w:sz w:val="32"/>
          <w:szCs w:val="32"/>
          <w:highlight w:val="none"/>
          <w:lang w:val="en-US" w:eastAsia="zh-CN" w:bidi="ar-SA"/>
        </w:rPr>
        <w:t>各相关部门</w:t>
      </w:r>
    </w:p>
    <w:p>
      <w:pPr>
        <w:keepNext w:val="0"/>
        <w:keepLines w:val="0"/>
        <w:pageBreakBefore w:val="0"/>
        <w:widowControl w:val="0"/>
        <w:numPr>
          <w:ilvl w:val="0"/>
          <w:numId w:val="2"/>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各类非紧急求助（卫生医疗、电力抢修、通信制修、社会保险、民政求助、环境保护、水气热抢修、公共设施）；</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43"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b/>
          <w:bCs/>
          <w:color w:val="auto"/>
          <w:spacing w:val="0"/>
          <w:kern w:val="2"/>
          <w:sz w:val="32"/>
          <w:szCs w:val="32"/>
          <w:highlight w:val="none"/>
          <w:lang w:val="en-US" w:eastAsia="zh-CN" w:bidi="ar-SA"/>
        </w:rPr>
        <w:t>责任单位：</w:t>
      </w:r>
      <w:r>
        <w:rPr>
          <w:rFonts w:hint="eastAsia" w:ascii="Times New Roman" w:hAnsi="Times New Roman" w:eastAsia="方正仿宋_GBK" w:cs="Times New Roman"/>
          <w:color w:val="auto"/>
          <w:spacing w:val="0"/>
          <w:kern w:val="2"/>
          <w:sz w:val="32"/>
          <w:szCs w:val="32"/>
          <w:highlight w:val="none"/>
          <w:lang w:val="en-US" w:eastAsia="zh-CN" w:bidi="ar-SA"/>
        </w:rPr>
        <w:t>卫健委、电力公司、移动公司、联通公司、电信公司、人社局、民政局、生态环境局、住建局、供排水公司、天然气公司、供热公司</w:t>
      </w:r>
    </w:p>
    <w:p>
      <w:pPr>
        <w:keepNext w:val="0"/>
        <w:keepLines w:val="0"/>
        <w:pageBreakBefore w:val="0"/>
        <w:widowControl w:val="0"/>
        <w:numPr>
          <w:ilvl w:val="0"/>
          <w:numId w:val="2"/>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一般性纠纷（未触及刑法、治安管理处罚规定的非暴力纠纷，已进入司法程序的纠纷不在受理范围）。例如：家庭婚姻情感纠纷、经济纠纷、消费纠纷、医疗纠纷、教育问题纠纷、房地产问题纠纷、征地拆迁纠纷、产权权属纠纷等；</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43"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b/>
          <w:bCs/>
          <w:color w:val="auto"/>
          <w:spacing w:val="0"/>
          <w:kern w:val="2"/>
          <w:sz w:val="32"/>
          <w:szCs w:val="32"/>
          <w:highlight w:val="none"/>
          <w:lang w:val="en-US" w:eastAsia="zh-CN" w:bidi="ar-SA"/>
        </w:rPr>
        <w:t>责任单位：</w:t>
      </w:r>
      <w:r>
        <w:rPr>
          <w:rFonts w:hint="eastAsia" w:ascii="Times New Roman" w:hAnsi="Times New Roman" w:eastAsia="方正仿宋_GBK" w:cs="Times New Roman"/>
          <w:color w:val="auto"/>
          <w:spacing w:val="0"/>
          <w:kern w:val="2"/>
          <w:sz w:val="32"/>
          <w:szCs w:val="32"/>
          <w:highlight w:val="none"/>
          <w:lang w:val="en-US" w:eastAsia="zh-CN" w:bidi="ar-SA"/>
        </w:rPr>
        <w:t>各行业主管部门</w:t>
      </w:r>
    </w:p>
    <w:p>
      <w:pPr>
        <w:keepNext w:val="0"/>
        <w:keepLines w:val="0"/>
        <w:pageBreakBefore w:val="0"/>
        <w:widowControl w:val="0"/>
        <w:numPr>
          <w:ilvl w:val="0"/>
          <w:numId w:val="2"/>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社会管理投诉类警情（涉及森林、水利、防震减灾、市场监督管理、文广管理、城市管理、施工管理、农林绿化、文旅管理、政法监督、司法管理等）；</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43"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b/>
          <w:bCs/>
          <w:color w:val="auto"/>
          <w:spacing w:val="0"/>
          <w:kern w:val="2"/>
          <w:sz w:val="32"/>
          <w:szCs w:val="32"/>
          <w:highlight w:val="none"/>
          <w:lang w:val="en-US" w:eastAsia="zh-CN" w:bidi="ar-SA"/>
        </w:rPr>
        <w:t>责任单位：</w:t>
      </w:r>
      <w:r>
        <w:rPr>
          <w:rFonts w:hint="eastAsia" w:ascii="Times New Roman" w:hAnsi="Times New Roman" w:eastAsia="方正仿宋_GBK" w:cs="Times New Roman"/>
          <w:color w:val="auto"/>
          <w:spacing w:val="0"/>
          <w:kern w:val="2"/>
          <w:sz w:val="32"/>
          <w:szCs w:val="32"/>
          <w:highlight w:val="none"/>
          <w:lang w:val="en-US" w:eastAsia="zh-CN" w:bidi="ar-SA"/>
        </w:rPr>
        <w:t>各行业主管部门</w:t>
      </w:r>
    </w:p>
    <w:p>
      <w:pPr>
        <w:keepNext w:val="0"/>
        <w:keepLines w:val="0"/>
        <w:pageBreakBefore w:val="0"/>
        <w:widowControl w:val="0"/>
        <w:numPr>
          <w:ilvl w:val="0"/>
          <w:numId w:val="2"/>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非公安机关受理的投诉建议（社会发展、内部监督、侵权投诉、违法举报）；</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43"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b/>
          <w:bCs/>
          <w:color w:val="auto"/>
          <w:spacing w:val="0"/>
          <w:kern w:val="2"/>
          <w:sz w:val="32"/>
          <w:szCs w:val="32"/>
          <w:highlight w:val="none"/>
          <w:lang w:val="en-US" w:eastAsia="zh-CN" w:bidi="ar-SA"/>
        </w:rPr>
        <w:t>责任单位：</w:t>
      </w:r>
      <w:r>
        <w:rPr>
          <w:rFonts w:hint="eastAsia" w:ascii="Times New Roman" w:hAnsi="Times New Roman" w:eastAsia="方正仿宋_GBK" w:cs="Times New Roman"/>
          <w:color w:val="auto"/>
          <w:spacing w:val="0"/>
          <w:kern w:val="2"/>
          <w:sz w:val="32"/>
          <w:szCs w:val="32"/>
          <w:highlight w:val="none"/>
          <w:lang w:val="en-US" w:eastAsia="zh-CN" w:bidi="ar-SA"/>
        </w:rPr>
        <w:t>各行业主管部门</w:t>
      </w:r>
    </w:p>
    <w:p>
      <w:pPr>
        <w:keepNext w:val="0"/>
        <w:keepLines w:val="0"/>
        <w:pageBreakBefore w:val="0"/>
        <w:widowControl w:val="0"/>
        <w:numPr>
          <w:ilvl w:val="0"/>
          <w:numId w:val="2"/>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其他属于非紧急的非警务类事项。</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43"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b/>
          <w:bCs/>
          <w:color w:val="auto"/>
          <w:spacing w:val="0"/>
          <w:kern w:val="2"/>
          <w:sz w:val="32"/>
          <w:szCs w:val="32"/>
          <w:highlight w:val="none"/>
          <w:lang w:val="en-US" w:eastAsia="zh-CN" w:bidi="ar-SA"/>
        </w:rPr>
        <w:t>责任单位：</w:t>
      </w:r>
      <w:r>
        <w:rPr>
          <w:rFonts w:hint="eastAsia" w:ascii="Times New Roman" w:hAnsi="Times New Roman" w:eastAsia="方正仿宋_GBK" w:cs="Times New Roman"/>
          <w:color w:val="auto"/>
          <w:spacing w:val="0"/>
          <w:kern w:val="2"/>
          <w:sz w:val="32"/>
          <w:szCs w:val="32"/>
          <w:highlight w:val="none"/>
          <w:lang w:val="en-US" w:eastAsia="zh-CN" w:bidi="ar-SA"/>
        </w:rPr>
        <w:t>各相关行业部门</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黑体" w:hAnsi="黑体" w:eastAsia="黑体" w:cs="黑体"/>
          <w:color w:val="auto"/>
          <w:spacing w:val="0"/>
          <w:kern w:val="2"/>
          <w:sz w:val="32"/>
          <w:szCs w:val="32"/>
          <w:highlight w:val="none"/>
          <w:lang w:val="en-US" w:eastAsia="zh-CN" w:bidi="ar-SA"/>
        </w:rPr>
      </w:pPr>
      <w:r>
        <w:rPr>
          <w:rFonts w:hint="eastAsia" w:ascii="黑体" w:hAnsi="黑体" w:eastAsia="黑体" w:cs="黑体"/>
          <w:color w:val="auto"/>
          <w:spacing w:val="0"/>
          <w:kern w:val="2"/>
          <w:sz w:val="32"/>
          <w:szCs w:val="32"/>
          <w:highlight w:val="none"/>
          <w:lang w:val="en-US" w:eastAsia="zh-CN" w:bidi="ar-SA"/>
        </w:rPr>
        <w:t>二、</w:t>
      </w:r>
      <w:r>
        <w:rPr>
          <w:rFonts w:hint="default" w:ascii="Times New Roman" w:hAnsi="Times New Roman" w:eastAsia="黑体" w:cs="Times New Roman"/>
          <w:color w:val="auto"/>
          <w:spacing w:val="0"/>
          <w:kern w:val="2"/>
          <w:sz w:val="32"/>
          <w:szCs w:val="32"/>
          <w:highlight w:val="none"/>
          <w:lang w:val="en-US" w:eastAsia="zh-CN" w:bidi="ar-SA"/>
        </w:rPr>
        <w:t>12345</w:t>
      </w:r>
      <w:r>
        <w:rPr>
          <w:rFonts w:hint="eastAsia" w:ascii="黑体" w:hAnsi="黑体" w:eastAsia="黑体" w:cs="黑体"/>
          <w:color w:val="auto"/>
          <w:spacing w:val="0"/>
          <w:kern w:val="2"/>
          <w:sz w:val="32"/>
          <w:szCs w:val="32"/>
          <w:highlight w:val="none"/>
          <w:lang w:val="en-US" w:eastAsia="zh-CN" w:bidi="ar-SA"/>
        </w:rPr>
        <w:t>政务热线接</w:t>
      </w:r>
      <w:bookmarkStart w:id="0" w:name="_GoBack"/>
      <w:bookmarkEnd w:id="0"/>
      <w:r>
        <w:rPr>
          <w:rFonts w:hint="eastAsia" w:ascii="黑体" w:hAnsi="黑体" w:eastAsia="黑体" w:cs="黑体"/>
          <w:color w:val="auto"/>
          <w:spacing w:val="0"/>
          <w:kern w:val="2"/>
          <w:sz w:val="32"/>
          <w:szCs w:val="32"/>
          <w:highlight w:val="none"/>
          <w:lang w:val="en-US" w:eastAsia="zh-CN" w:bidi="ar-SA"/>
        </w:rPr>
        <w:t>转</w:t>
      </w:r>
      <w:r>
        <w:rPr>
          <w:rFonts w:hint="eastAsia" w:ascii="方正小标宋_GBK" w:hAnsi="方正小标宋_GBK" w:eastAsia="方正小标宋_GBK" w:cs="方正小标宋_GBK"/>
          <w:color w:val="auto"/>
          <w:spacing w:val="0"/>
          <w:kern w:val="2"/>
          <w:sz w:val="32"/>
          <w:szCs w:val="32"/>
          <w:highlight w:val="none"/>
          <w:lang w:val="en-US" w:eastAsia="zh-CN" w:bidi="ar-SA"/>
        </w:rPr>
        <w:t>110</w:t>
      </w:r>
      <w:r>
        <w:rPr>
          <w:rFonts w:hint="eastAsia" w:ascii="黑体" w:hAnsi="黑体" w:eastAsia="黑体" w:cs="黑体"/>
          <w:color w:val="auto"/>
          <w:spacing w:val="0"/>
          <w:kern w:val="2"/>
          <w:sz w:val="32"/>
          <w:szCs w:val="32"/>
          <w:highlight w:val="none"/>
          <w:lang w:val="en-US" w:eastAsia="zh-CN" w:bidi="ar-SA"/>
        </w:rPr>
        <w:t>受理事项</w:t>
      </w:r>
    </w:p>
    <w:p>
      <w:pPr>
        <w:keepNext w:val="0"/>
        <w:keepLines w:val="0"/>
        <w:pageBreakBefore w:val="0"/>
        <w:widowControl w:val="0"/>
        <w:numPr>
          <w:ilvl w:val="0"/>
          <w:numId w:val="3"/>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刑事案件；</w:t>
      </w:r>
    </w:p>
    <w:p>
      <w:pPr>
        <w:keepNext w:val="0"/>
        <w:keepLines w:val="0"/>
        <w:pageBreakBefore w:val="0"/>
        <w:widowControl w:val="0"/>
        <w:numPr>
          <w:ilvl w:val="0"/>
          <w:numId w:val="3"/>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治安案（事）件；</w:t>
      </w:r>
    </w:p>
    <w:p>
      <w:pPr>
        <w:keepNext w:val="0"/>
        <w:keepLines w:val="0"/>
        <w:pageBreakBefore w:val="0"/>
        <w:widowControl w:val="0"/>
        <w:numPr>
          <w:ilvl w:val="0"/>
          <w:numId w:val="3"/>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道路交通事故；</w:t>
      </w:r>
    </w:p>
    <w:p>
      <w:pPr>
        <w:keepNext w:val="0"/>
        <w:keepLines w:val="0"/>
        <w:pageBreakBefore w:val="0"/>
        <w:widowControl w:val="0"/>
        <w:numPr>
          <w:ilvl w:val="0"/>
          <w:numId w:val="3"/>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群体性事件；</w:t>
      </w:r>
    </w:p>
    <w:p>
      <w:pPr>
        <w:keepNext w:val="0"/>
        <w:keepLines w:val="0"/>
        <w:pageBreakBefore w:val="0"/>
        <w:widowControl w:val="0"/>
        <w:numPr>
          <w:ilvl w:val="0"/>
          <w:numId w:val="3"/>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治安灾害事故；</w:t>
      </w:r>
    </w:p>
    <w:p>
      <w:pPr>
        <w:keepNext w:val="0"/>
        <w:keepLines w:val="0"/>
        <w:pageBreakBefore w:val="0"/>
        <w:widowControl w:val="0"/>
        <w:numPr>
          <w:ilvl w:val="0"/>
          <w:numId w:val="3"/>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公共设施险情、自然灾害事故等危及公共安全、群众生命或者财产安全需要公安机关处置的紧急求助；</w:t>
      </w:r>
    </w:p>
    <w:p>
      <w:pPr>
        <w:keepNext w:val="0"/>
        <w:keepLines w:val="0"/>
        <w:pageBreakBefore w:val="0"/>
        <w:widowControl w:val="0"/>
        <w:numPr>
          <w:ilvl w:val="0"/>
          <w:numId w:val="3"/>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扬言危害公共安全的来电；</w:t>
      </w:r>
    </w:p>
    <w:p>
      <w:pPr>
        <w:keepNext w:val="0"/>
        <w:keepLines w:val="0"/>
        <w:pageBreakBefore w:val="0"/>
        <w:widowControl w:val="0"/>
        <w:numPr>
          <w:ilvl w:val="0"/>
          <w:numId w:val="3"/>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公安机关及人民警察正在发生的违法违纪或失职行为的投诉；</w:t>
      </w:r>
    </w:p>
    <w:p>
      <w:pPr>
        <w:keepNext w:val="0"/>
        <w:keepLines w:val="0"/>
        <w:pageBreakBefore w:val="0"/>
        <w:widowControl w:val="0"/>
        <w:numPr>
          <w:ilvl w:val="0"/>
          <w:numId w:val="3"/>
        </w:numPr>
        <w:tabs>
          <w:tab w:val="left" w:pos="2458"/>
        </w:tabs>
        <w:kinsoku/>
        <w:wordWrap/>
        <w:overflowPunct/>
        <w:topLinePunct w:val="0"/>
        <w:autoSpaceDE/>
        <w:autoSpaceDN/>
        <w:bidi w:val="0"/>
        <w:adjustRightInd/>
        <w:snapToGrid/>
        <w:spacing w:before="157" w:beforeLines="50" w:after="157" w:afterLines="50" w:line="578" w:lineRule="exact"/>
        <w:ind w:firstLine="640" w:firstLineChars="200"/>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其他非政务类的紧急事件。</w:t>
      </w: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60" w:lineRule="exact"/>
        <w:textAlignment w:val="auto"/>
        <w:outlineLvl w:val="9"/>
        <w:rPr>
          <w:rFonts w:hint="eastAsia" w:ascii="Times New Roman" w:hAnsi="Times New Roman" w:eastAsia="方正仿宋_GBK" w:cs="Times New Roman"/>
          <w:color w:val="auto"/>
          <w:spacing w:val="0"/>
          <w:kern w:val="2"/>
          <w:sz w:val="32"/>
          <w:szCs w:val="32"/>
          <w:highlight w:val="none"/>
          <w:lang w:val="en-US" w:eastAsia="zh-CN" w:bidi="ar-SA"/>
        </w:rPr>
      </w:pPr>
    </w:p>
    <w:p>
      <w:pPr>
        <w:keepNext w:val="0"/>
        <w:keepLines w:val="0"/>
        <w:pageBreakBefore w:val="0"/>
        <w:widowControl w:val="0"/>
        <w:numPr>
          <w:ilvl w:val="0"/>
          <w:numId w:val="0"/>
        </w:numPr>
        <w:tabs>
          <w:tab w:val="left" w:pos="2458"/>
        </w:tabs>
        <w:kinsoku/>
        <w:wordWrap/>
        <w:overflowPunct/>
        <w:topLinePunct w:val="0"/>
        <w:autoSpaceDE/>
        <w:autoSpaceDN/>
        <w:bidi w:val="0"/>
        <w:adjustRightInd/>
        <w:snapToGrid/>
        <w:spacing w:before="157" w:beforeLines="50" w:after="157" w:afterLines="50" w:line="560" w:lineRule="exact"/>
        <w:textAlignment w:val="auto"/>
        <w:outlineLvl w:val="9"/>
        <w:rPr>
          <w:rFonts w:hint="eastAsia" w:ascii="仿宋_GB2312" w:hAnsi="仿宋_GB2312" w:eastAsia="仿宋_GB2312" w:cs="仿宋_GB2312"/>
          <w:sz w:val="32"/>
          <w:szCs w:val="32"/>
          <w:lang w:val="en-US" w:eastAsia="zh-CN"/>
        </w:rPr>
      </w:pPr>
    </w:p>
    <w:p>
      <w:pPr>
        <w:pStyle w:val="4"/>
        <w:keepNext w:val="0"/>
        <w:keepLines w:val="0"/>
        <w:pageBreakBefore w:val="0"/>
        <w:widowControl w:val="0"/>
        <w:tabs>
          <w:tab w:val="left" w:pos="0"/>
        </w:tabs>
        <w:kinsoku/>
        <w:wordWrap/>
        <w:overflowPunct/>
        <w:topLinePunct w:val="0"/>
        <w:autoSpaceDE/>
        <w:autoSpaceDN/>
        <w:bidi w:val="0"/>
        <w:adjustRightInd/>
        <w:snapToGrid/>
        <w:spacing w:line="554" w:lineRule="exact"/>
        <w:ind w:left="0" w:leftChars="0" w:right="192" w:rightChars="60" w:firstLine="0" w:firstLineChars="0"/>
        <w:textAlignment w:val="auto"/>
        <w:outlineLvl w:val="9"/>
        <w:rPr>
          <w:rFonts w:hint="default" w:ascii="Times New Roman" w:hAnsi="Times New Roman" w:eastAsia="方正仿宋_GBK" w:cs="Times New Roman"/>
          <w:color w:val="auto"/>
          <w:spacing w:val="0"/>
          <w:sz w:val="28"/>
          <w:szCs w:val="28"/>
          <w:highlight w:val="none"/>
        </w:rPr>
      </w:pPr>
    </w:p>
    <w:p>
      <w:pPr>
        <w:pStyle w:val="5"/>
        <w:rPr>
          <w:rFonts w:hint="default" w:ascii="Times New Roman" w:hAnsi="Times New Roman" w:eastAsia="方正仿宋_GBK" w:cs="Times New Roman"/>
          <w:color w:val="auto"/>
          <w:spacing w:val="0"/>
          <w:sz w:val="28"/>
          <w:szCs w:val="28"/>
          <w:highlight w:val="none"/>
        </w:rPr>
      </w:pPr>
    </w:p>
    <w:p>
      <w:pPr>
        <w:rPr>
          <w:rFonts w:hint="default" w:ascii="Times New Roman" w:hAnsi="Times New Roman" w:eastAsia="方正仿宋_GBK" w:cs="Times New Roman"/>
          <w:color w:val="auto"/>
          <w:spacing w:val="0"/>
          <w:sz w:val="28"/>
          <w:szCs w:val="28"/>
          <w:highlight w:val="none"/>
        </w:rPr>
      </w:pPr>
    </w:p>
    <w:p>
      <w:pPr>
        <w:pStyle w:val="2"/>
        <w:rPr>
          <w:rFonts w:hint="default" w:ascii="Times New Roman" w:hAnsi="Times New Roman" w:eastAsia="方正仿宋_GBK" w:cs="Times New Roman"/>
          <w:color w:val="auto"/>
          <w:spacing w:val="0"/>
          <w:sz w:val="28"/>
          <w:szCs w:val="28"/>
          <w:highlight w:val="none"/>
        </w:rPr>
      </w:pPr>
    </w:p>
    <w:p>
      <w:pPr>
        <w:rPr>
          <w:rFonts w:hint="default" w:ascii="Times New Roman" w:hAnsi="Times New Roman" w:eastAsia="方正仿宋_GBK" w:cs="Times New Roman"/>
          <w:color w:val="auto"/>
          <w:spacing w:val="0"/>
          <w:sz w:val="28"/>
          <w:szCs w:val="28"/>
          <w:highlight w:val="none"/>
        </w:rPr>
      </w:pPr>
    </w:p>
    <w:p>
      <w:pPr>
        <w:pStyle w:val="2"/>
        <w:rPr>
          <w:rFonts w:hint="default" w:ascii="Times New Roman" w:hAnsi="Times New Roman" w:eastAsia="方正仿宋_GBK" w:cs="Times New Roman"/>
          <w:color w:val="auto"/>
          <w:spacing w:val="0"/>
          <w:sz w:val="28"/>
          <w:szCs w:val="28"/>
          <w:highlight w:val="none"/>
        </w:rPr>
      </w:pPr>
    </w:p>
    <w:p>
      <w:pPr>
        <w:rPr>
          <w:rFonts w:hint="default" w:ascii="Times New Roman" w:hAnsi="Times New Roman" w:eastAsia="方正仿宋_GBK" w:cs="Times New Roman"/>
          <w:color w:val="auto"/>
          <w:spacing w:val="0"/>
          <w:sz w:val="28"/>
          <w:szCs w:val="28"/>
          <w:highlight w:val="none"/>
        </w:rPr>
      </w:pPr>
    </w:p>
    <w:p>
      <w:pPr>
        <w:pStyle w:val="2"/>
        <w:rPr>
          <w:rFonts w:hint="default" w:ascii="Times New Roman" w:hAnsi="Times New Roman" w:eastAsia="方正仿宋_GBK" w:cs="Times New Roman"/>
          <w:color w:val="auto"/>
          <w:spacing w:val="0"/>
          <w:sz w:val="28"/>
          <w:szCs w:val="28"/>
          <w:highlight w:val="none"/>
        </w:rPr>
      </w:pPr>
    </w:p>
    <w:p>
      <w:pPr>
        <w:rPr>
          <w:rFonts w:hint="default" w:ascii="Times New Roman" w:hAnsi="Times New Roman" w:eastAsia="方正仿宋_GBK" w:cs="Times New Roman"/>
          <w:color w:val="auto"/>
          <w:spacing w:val="0"/>
          <w:sz w:val="28"/>
          <w:szCs w:val="28"/>
          <w:highlight w:val="none"/>
        </w:rPr>
      </w:pPr>
    </w:p>
    <w:p>
      <w:pPr>
        <w:pStyle w:val="2"/>
        <w:rPr>
          <w:rFonts w:hint="default" w:ascii="Times New Roman" w:hAnsi="Times New Roman" w:eastAsia="方正仿宋_GBK" w:cs="Times New Roman"/>
          <w:color w:val="auto"/>
          <w:spacing w:val="0"/>
          <w:sz w:val="28"/>
          <w:szCs w:val="28"/>
          <w:highlight w:val="none"/>
        </w:rPr>
      </w:pPr>
    </w:p>
    <w:p>
      <w:pPr>
        <w:rPr>
          <w:rFonts w:hint="default" w:ascii="Times New Roman" w:hAnsi="Times New Roman" w:eastAsia="方正仿宋_GBK" w:cs="Times New Roman"/>
          <w:color w:val="auto"/>
          <w:spacing w:val="0"/>
          <w:sz w:val="28"/>
          <w:szCs w:val="28"/>
          <w:highlight w:val="none"/>
        </w:rPr>
      </w:pPr>
    </w:p>
    <w:p>
      <w:pPr>
        <w:pStyle w:val="2"/>
        <w:rPr>
          <w:rFonts w:hint="default" w:ascii="Times New Roman" w:hAnsi="Times New Roman" w:eastAsia="方正仿宋_GBK" w:cs="Times New Roman"/>
          <w:color w:val="auto"/>
          <w:spacing w:val="0"/>
          <w:sz w:val="28"/>
          <w:szCs w:val="28"/>
          <w:highlight w:val="none"/>
        </w:rPr>
      </w:pPr>
    </w:p>
    <w:tbl>
      <w:tblPr>
        <w:tblStyle w:val="12"/>
        <w:tblpPr w:leftFromText="181" w:rightFromText="181" w:horzAnchor="page" w:tblpX="1508" w:tblpYSpec="bottom"/>
        <w:tblOverlap w:val="never"/>
        <w:tblW w:w="9060" w:type="dxa"/>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jc w:val="center"/>
        </w:trPr>
        <w:tc>
          <w:tcPr>
            <w:tcW w:w="9060" w:type="dxa"/>
            <w:tcBorders>
              <w:tl2br w:val="nil"/>
              <w:tr2bl w:val="nil"/>
            </w:tcBorders>
            <w:noWrap w:val="0"/>
            <w:vAlign w:val="top"/>
          </w:tcPr>
          <w:p>
            <w:pPr>
              <w:keepNext w:val="0"/>
              <w:keepLines w:val="0"/>
              <w:pageBreakBefore w:val="0"/>
              <w:widowControl w:val="0"/>
              <w:kinsoku/>
              <w:wordWrap w:val="0"/>
              <w:overflowPunct/>
              <w:topLinePunct w:val="0"/>
              <w:autoSpaceDE/>
              <w:autoSpaceDN/>
              <w:bidi w:val="0"/>
              <w:adjustRightInd/>
              <w:snapToGrid/>
              <w:spacing w:line="540" w:lineRule="exact"/>
              <w:ind w:firstLine="280" w:firstLineChars="100"/>
              <w:jc w:val="both"/>
              <w:textAlignment w:val="auto"/>
              <w:outlineLvl w:val="9"/>
              <w:rPr>
                <w:rFonts w:hint="default" w:ascii="Times New Roman" w:hAnsi="Times New Roman" w:eastAsia="方正仿宋_GBK" w:cs="Times New Roman"/>
                <w:spacing w:val="0"/>
                <w:sz w:val="28"/>
                <w:szCs w:val="36"/>
                <w:vertAlign w:val="baseline"/>
                <w:lang w:val="en-US" w:eastAsia="zh-CN"/>
              </w:rPr>
            </w:pPr>
            <w:r>
              <w:rPr>
                <w:rFonts w:hint="default" w:ascii="Times New Roman" w:hAnsi="Times New Roman" w:eastAsia="方正仿宋_GBK" w:cs="Times New Roman"/>
                <w:spacing w:val="0"/>
                <w:sz w:val="28"/>
                <w:szCs w:val="36"/>
                <w:vertAlign w:val="baseline"/>
                <w:lang w:val="en-US" w:eastAsia="zh-CN"/>
              </w:rPr>
              <w:t xml:space="preserve">乌恰县人民政府办公室              </w:t>
            </w:r>
            <w:r>
              <w:rPr>
                <w:rFonts w:hint="eastAsia" w:ascii="Times New Roman" w:hAnsi="Times New Roman" w:eastAsia="方正仿宋_GBK" w:cs="Times New Roman"/>
                <w:spacing w:val="0"/>
                <w:sz w:val="28"/>
                <w:szCs w:val="36"/>
                <w:vertAlign w:val="baseline"/>
                <w:lang w:val="en-US" w:eastAsia="zh-CN"/>
              </w:rPr>
              <w:t xml:space="preserve"> </w:t>
            </w:r>
            <w:r>
              <w:rPr>
                <w:rFonts w:hint="default" w:ascii="Times New Roman" w:hAnsi="Times New Roman" w:eastAsia="方正仿宋_GBK" w:cs="Times New Roman"/>
                <w:spacing w:val="0"/>
                <w:sz w:val="28"/>
                <w:szCs w:val="36"/>
                <w:vertAlign w:val="baseline"/>
                <w:lang w:val="en-US" w:eastAsia="zh-CN"/>
              </w:rPr>
              <w:t xml:space="preserve">    20</w:t>
            </w:r>
            <w:r>
              <w:rPr>
                <w:rFonts w:hint="eastAsia" w:ascii="Times New Roman" w:hAnsi="Times New Roman" w:eastAsia="方正仿宋_GBK" w:cs="Times New Roman"/>
                <w:spacing w:val="0"/>
                <w:sz w:val="28"/>
                <w:szCs w:val="36"/>
                <w:vertAlign w:val="baseline"/>
                <w:lang w:val="en-US" w:eastAsia="zh-CN"/>
              </w:rPr>
              <w:t>24</w:t>
            </w:r>
            <w:r>
              <w:rPr>
                <w:rFonts w:hint="default" w:ascii="Times New Roman" w:hAnsi="Times New Roman" w:eastAsia="方正仿宋_GBK" w:cs="Times New Roman"/>
                <w:spacing w:val="0"/>
                <w:sz w:val="28"/>
                <w:szCs w:val="36"/>
                <w:vertAlign w:val="baseline"/>
                <w:lang w:val="en-US" w:eastAsia="zh-CN"/>
              </w:rPr>
              <w:t>年</w:t>
            </w:r>
            <w:r>
              <w:rPr>
                <w:rFonts w:hint="eastAsia" w:ascii="Times New Roman" w:hAnsi="Times New Roman" w:eastAsia="方正仿宋_GBK" w:cs="Times New Roman"/>
                <w:spacing w:val="0"/>
                <w:sz w:val="28"/>
                <w:szCs w:val="36"/>
                <w:vertAlign w:val="baseline"/>
                <w:lang w:val="en-US" w:eastAsia="zh-CN"/>
              </w:rPr>
              <w:t>4</w:t>
            </w:r>
            <w:r>
              <w:rPr>
                <w:rFonts w:hint="default" w:ascii="Times New Roman" w:hAnsi="Times New Roman" w:eastAsia="方正仿宋_GBK" w:cs="Times New Roman"/>
                <w:spacing w:val="0"/>
                <w:sz w:val="28"/>
                <w:szCs w:val="36"/>
                <w:vertAlign w:val="baseline"/>
                <w:lang w:val="en-US" w:eastAsia="zh-CN"/>
              </w:rPr>
              <w:t>月</w:t>
            </w:r>
            <w:r>
              <w:rPr>
                <w:rFonts w:hint="eastAsia" w:ascii="Times New Roman" w:hAnsi="Times New Roman" w:eastAsia="方正仿宋_GBK" w:cs="Times New Roman"/>
                <w:spacing w:val="0"/>
                <w:sz w:val="28"/>
                <w:szCs w:val="36"/>
                <w:vertAlign w:val="baseline"/>
                <w:lang w:val="en-US" w:eastAsia="zh-CN"/>
              </w:rPr>
              <w:t>16</w:t>
            </w:r>
            <w:r>
              <w:rPr>
                <w:rFonts w:hint="eastAsia" w:eastAsia="方正仿宋_GBK" w:cs="Times New Roman"/>
                <w:spacing w:val="0"/>
                <w:sz w:val="28"/>
                <w:szCs w:val="36"/>
                <w:vertAlign w:val="baseline"/>
                <w:lang w:val="en-US" w:eastAsia="zh-CN"/>
              </w:rPr>
              <w:t>日</w:t>
            </w:r>
            <w:r>
              <w:rPr>
                <w:rFonts w:hint="default" w:ascii="Times New Roman" w:hAnsi="Times New Roman" w:eastAsia="方正仿宋_GBK" w:cs="Times New Roman"/>
                <w:spacing w:val="0"/>
                <w:sz w:val="28"/>
                <w:szCs w:val="36"/>
                <w:vertAlign w:val="baseline"/>
                <w:lang w:val="en-US" w:eastAsia="zh-CN"/>
              </w:rPr>
              <w:t>印发</w:t>
            </w:r>
          </w:p>
        </w:tc>
      </w:tr>
    </w:tbl>
    <w:p>
      <w:pPr>
        <w:rPr>
          <w:rFonts w:hint="default"/>
        </w:rPr>
      </w:pPr>
    </w:p>
    <w:sectPr>
      <w:headerReference r:id="rId3" w:type="default"/>
      <w:footerReference r:id="rId4" w:type="default"/>
      <w:pgSz w:w="11906" w:h="16838"/>
      <w:pgMar w:top="2098" w:right="1417" w:bottom="1984"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84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F4626"/>
    <w:multiLevelType w:val="singleLevel"/>
    <w:tmpl w:val="F7FF4626"/>
    <w:lvl w:ilvl="0" w:tentative="0">
      <w:start w:val="1"/>
      <w:numFmt w:val="decimal"/>
      <w:pStyle w:val="7"/>
      <w:lvlText w:val="%1."/>
      <w:lvlJc w:val="left"/>
      <w:pPr>
        <w:tabs>
          <w:tab w:val="left" w:pos="2040"/>
        </w:tabs>
        <w:ind w:left="2040" w:hanging="360"/>
      </w:pPr>
    </w:lvl>
  </w:abstractNum>
  <w:abstractNum w:abstractNumId="1">
    <w:nsid w:val="2C3E48D0"/>
    <w:multiLevelType w:val="singleLevel"/>
    <w:tmpl w:val="2C3E48D0"/>
    <w:lvl w:ilvl="0" w:tentative="0">
      <w:start w:val="1"/>
      <w:numFmt w:val="chineseCounting"/>
      <w:suff w:val="nothing"/>
      <w:lvlText w:val="（%1）"/>
      <w:lvlJc w:val="left"/>
      <w:rPr>
        <w:rFonts w:hint="eastAsia"/>
      </w:rPr>
    </w:lvl>
  </w:abstractNum>
  <w:abstractNum w:abstractNumId="2">
    <w:nsid w:val="47353684"/>
    <w:multiLevelType w:val="singleLevel"/>
    <w:tmpl w:val="47353684"/>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YzQ2OTQyMjFjYmQwNDA0OWRmZmE4NjljMjVhZmIifQ=="/>
  </w:docVars>
  <w:rsids>
    <w:rsidRoot w:val="768911E8"/>
    <w:rsid w:val="06DA63C5"/>
    <w:rsid w:val="1CA324D4"/>
    <w:rsid w:val="273A716C"/>
    <w:rsid w:val="2F02092C"/>
    <w:rsid w:val="30127C30"/>
    <w:rsid w:val="36612E47"/>
    <w:rsid w:val="4EF87F61"/>
    <w:rsid w:val="4F240CE1"/>
    <w:rsid w:val="51960B78"/>
    <w:rsid w:val="545543E2"/>
    <w:rsid w:val="61184B0B"/>
    <w:rsid w:val="61D64494"/>
    <w:rsid w:val="65D66F23"/>
    <w:rsid w:val="6ABA406C"/>
    <w:rsid w:val="6C0E7C25"/>
    <w:rsid w:val="72883516"/>
    <w:rsid w:val="74FB517C"/>
    <w:rsid w:val="76891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unhideWhenUsed/>
    <w:qFormat/>
    <w:uiPriority w:val="0"/>
    <w:pPr>
      <w:keepNext/>
      <w:keepLines/>
      <w:outlineLvl w:val="2"/>
    </w:pPr>
    <w:rPr>
      <w:rFonts w:ascii="仿宋" w:hAnsi="仿宋" w:cs="宋体"/>
      <w:color w:val="FF0000"/>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unhideWhenUsed/>
    <w:qFormat/>
    <w:uiPriority w:val="99"/>
    <w:pPr>
      <w:spacing w:line="560" w:lineRule="exact"/>
      <w:ind w:left="420" w:leftChars="200"/>
    </w:pPr>
    <w:rPr>
      <w:rFonts w:ascii="Calibri" w:hAnsi="Calibri" w:eastAsia="仿宋_GB2312"/>
      <w:sz w:val="32"/>
      <w:szCs w:val="22"/>
    </w:rPr>
  </w:style>
  <w:style w:type="paragraph" w:styleId="4">
    <w:name w:val="Body Text Indent"/>
    <w:basedOn w:val="1"/>
    <w:next w:val="5"/>
    <w:qFormat/>
    <w:uiPriority w:val="0"/>
    <w:pPr>
      <w:spacing w:line="0" w:lineRule="atLeast"/>
      <w:ind w:left="900" w:hanging="900"/>
    </w:pPr>
    <w:rPr>
      <w:szCs w:val="20"/>
    </w:rPr>
  </w:style>
  <w:style w:type="paragraph" w:styleId="5">
    <w:name w:val="Body Text First Indent 2"/>
    <w:basedOn w:val="4"/>
    <w:next w:val="1"/>
    <w:unhideWhenUsed/>
    <w:qFormat/>
    <w:uiPriority w:val="0"/>
    <w:pPr>
      <w:ind w:firstLine="200" w:firstLineChars="200"/>
    </w:pPr>
    <w:rPr>
      <w:rFonts w:hint="default"/>
      <w:sz w:val="21"/>
    </w:rPr>
  </w:style>
  <w:style w:type="paragraph" w:styleId="6">
    <w:name w:val="Plain Text"/>
    <w:basedOn w:val="1"/>
    <w:next w:val="7"/>
    <w:qFormat/>
    <w:uiPriority w:val="0"/>
    <w:rPr>
      <w:rFonts w:ascii="宋体" w:hAnsi="Courier New" w:eastAsia="宋体" w:cs="Times New Roman"/>
      <w:sz w:val="28"/>
      <w:szCs w:val="20"/>
    </w:rPr>
  </w:style>
  <w:style w:type="paragraph" w:styleId="7">
    <w:name w:val="List Number 5"/>
    <w:basedOn w:val="1"/>
    <w:qFormat/>
    <w:uiPriority w:val="0"/>
    <w:pPr>
      <w:numPr>
        <w:ilvl w:val="0"/>
        <w:numId w:val="1"/>
      </w:numPr>
    </w:pPr>
  </w:style>
  <w:style w:type="paragraph" w:styleId="8">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List"/>
    <w:basedOn w:val="1"/>
    <w:qFormat/>
    <w:uiPriority w:val="0"/>
    <w:pPr>
      <w:ind w:left="200" w:hanging="200" w:hangingChars="200"/>
      <w:contextualSpacing/>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1166</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2024-02-22T03:45:00Z</dcterms:created>
  <dc:creator>龙轩</dc:creator>
  <cp:lastModifiedBy>admin</cp:lastModifiedBy>
  <cp:lastPrinted>2024-04-18T09:51:00Z</cp:lastPrinted>
  <dcterms:modified xsi:type="dcterms:W3CDTF">2024-06-13T09:33:20Z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97C86C6FC28B4E598E42070B5F5A95F0_11</vt:lpwstr>
  </property>
</Properties>
</file>