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153012"/>
    <w:p w14:paraId="342F88C9">
      <w:pPr>
        <w:spacing w:after="120" w:line="360" w:lineRule="auto"/>
        <w:jc w:val="center"/>
        <w:rPr>
          <w:rFonts w:hint="eastAsia" w:ascii="方正小标宋简体" w:hAnsi="方正小标宋简体" w:eastAsia="方正小标宋简体" w:cs="方正小标宋简体"/>
          <w:i w:val="0"/>
          <w:iCs w:val="0"/>
          <w:caps w:val="0"/>
          <w:color w:val="000000"/>
          <w:spacing w:val="0"/>
          <w:sz w:val="36"/>
          <w:szCs w:val="36"/>
          <w:shd w:val="clear" w:fill="FFFFFF"/>
        </w:rPr>
      </w:pPr>
      <w:r>
        <w:rPr>
          <w:rFonts w:hint="eastAsia" w:ascii="方正小标宋简体" w:hAnsi="方正小标宋简体" w:eastAsia="方正小标宋简体" w:cs="方正小标宋简体"/>
          <w:i w:val="0"/>
          <w:iCs w:val="0"/>
          <w:caps w:val="0"/>
          <w:color w:val="000000"/>
          <w:spacing w:val="0"/>
          <w:sz w:val="36"/>
          <w:szCs w:val="36"/>
          <w:shd w:val="clear" w:fill="FFFFFF"/>
          <w:lang w:val="en-US" w:eastAsia="zh-CN"/>
        </w:rPr>
        <w:t>克孜勒苏柯尔克孜自治州乌恰县</w:t>
      </w:r>
      <w:r>
        <w:rPr>
          <w:rFonts w:hint="eastAsia" w:ascii="方正小标宋简体" w:hAnsi="方正小标宋简体" w:eastAsia="方正小标宋简体" w:cs="方正小标宋简体"/>
          <w:i w:val="0"/>
          <w:iCs w:val="0"/>
          <w:caps w:val="0"/>
          <w:color w:val="000000"/>
          <w:spacing w:val="0"/>
          <w:sz w:val="36"/>
          <w:szCs w:val="36"/>
          <w:shd w:val="clear" w:fill="FFFFFF"/>
        </w:rPr>
        <w:t>烟草制品</w:t>
      </w:r>
    </w:p>
    <w:p w14:paraId="1DCF4273">
      <w:pPr>
        <w:spacing w:after="120" w:line="360" w:lineRule="auto"/>
        <w:jc w:val="center"/>
        <w:rPr>
          <w:rFonts w:hint="eastAsia" w:ascii="方正小标宋简体" w:hAnsi="方正小标宋简体" w:eastAsia="方正小标宋简体" w:cs="方正小标宋简体"/>
          <w:b w:val="0"/>
          <w:bCs/>
          <w:i w:val="0"/>
          <w:iCs w:val="0"/>
          <w:caps w:val="0"/>
          <w:strike w:val="0"/>
          <w:color w:val="auto"/>
          <w:spacing w:val="0"/>
          <w:sz w:val="36"/>
          <w:szCs w:val="36"/>
          <w:highlight w:val="yellow"/>
          <w:u w:val="none"/>
          <w:lang w:eastAsia="zh-CN"/>
        </w:rPr>
      </w:pPr>
      <w:r>
        <w:rPr>
          <w:rFonts w:hint="eastAsia" w:ascii="方正小标宋简体" w:hAnsi="方正小标宋简体" w:eastAsia="方正小标宋简体" w:cs="方正小标宋简体"/>
          <w:i w:val="0"/>
          <w:iCs w:val="0"/>
          <w:caps w:val="0"/>
          <w:color w:val="000000"/>
          <w:spacing w:val="0"/>
          <w:sz w:val="36"/>
          <w:szCs w:val="36"/>
          <w:shd w:val="clear" w:fill="FFFFFF"/>
        </w:rPr>
        <w:t>零售点合理布局</w:t>
      </w:r>
      <w:r>
        <w:rPr>
          <w:rFonts w:hint="eastAsia" w:ascii="方正小标宋简体" w:hAnsi="方正小标宋简体" w:eastAsia="方正小标宋简体" w:cs="方正小标宋简体"/>
          <w:i w:val="0"/>
          <w:iCs w:val="0"/>
          <w:caps w:val="0"/>
          <w:color w:val="000000"/>
          <w:spacing w:val="0"/>
          <w:sz w:val="36"/>
          <w:szCs w:val="36"/>
          <w:shd w:val="clear" w:fill="FFFFFF"/>
          <w:lang w:eastAsia="zh-CN"/>
        </w:rPr>
        <w:t>规划</w:t>
      </w:r>
    </w:p>
    <w:p w14:paraId="44537E6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第一章</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rPr>
        <w:t>总</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rPr>
        <w:t>则</w:t>
      </w:r>
    </w:p>
    <w:p w14:paraId="71FF0DE9">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第一条</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sz w:val="32"/>
          <w:szCs w:val="32"/>
        </w:rPr>
        <w:t>为加强烟草专卖零售许可证管理，规范烟草制品零售市场经营秩序，进一步优化营商环境，根据《中华人民共和国烟草专卖法》《中华人民共和国未成年人保护法》《中华人民共和国烟草专卖法实施条例》《烟草专卖许可证管理办法》《烟草专卖许可证管理办法实施细则》等法律、法规、规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结合</w:t>
      </w:r>
      <w:r>
        <w:rPr>
          <w:rFonts w:hint="eastAsia" w:ascii="仿宋_GB2312" w:hAnsi="仿宋_GB2312" w:eastAsia="仿宋_GB2312" w:cs="仿宋_GB2312"/>
          <w:sz w:val="32"/>
          <w:szCs w:val="32"/>
          <w:lang w:val="en-US" w:eastAsia="zh-CN"/>
        </w:rPr>
        <w:t>乌恰县</w:t>
      </w:r>
      <w:r>
        <w:rPr>
          <w:rFonts w:hint="eastAsia" w:ascii="仿宋_GB2312" w:hAnsi="仿宋_GB2312" w:eastAsia="仿宋_GB2312" w:cs="仿宋_GB2312"/>
          <w:sz w:val="32"/>
          <w:szCs w:val="32"/>
        </w:rPr>
        <w:t>实际，制定本规划。</w:t>
      </w:r>
    </w:p>
    <w:p w14:paraId="7F81C250">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本规划适用于</w:t>
      </w:r>
      <w:r>
        <w:rPr>
          <w:rFonts w:hint="eastAsia" w:ascii="仿宋_GB2312" w:hAnsi="仿宋_GB2312" w:eastAsia="仿宋_GB2312" w:cs="仿宋_GB2312"/>
          <w:sz w:val="32"/>
          <w:szCs w:val="32"/>
          <w:lang w:eastAsia="zh-CN"/>
        </w:rPr>
        <w:t>乌恰县</w:t>
      </w:r>
      <w:r>
        <w:rPr>
          <w:rFonts w:hint="eastAsia" w:ascii="仿宋_GB2312" w:hAnsi="仿宋_GB2312" w:eastAsia="仿宋_GB2312" w:cs="仿宋_GB2312"/>
          <w:sz w:val="32"/>
          <w:szCs w:val="32"/>
        </w:rPr>
        <w:t>烟草专卖局辖区内所有烟草制品零售点(以下简称零售点)的设置。</w:t>
      </w:r>
    </w:p>
    <w:p w14:paraId="0C345FE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本规定所指零售点是指依法取得烟草专卖零售许可证从事烟草制品零售业务的公民、法人及其他组织开展烟草制品零售经营业务的场所，其销售对象应为烟草制品的具体消费者。</w:t>
      </w:r>
    </w:p>
    <w:p w14:paraId="1B26E70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第四条</w:t>
      </w:r>
      <w:r>
        <w:rPr>
          <w:rFonts w:hint="eastAsia" w:ascii="仿宋_GB2312" w:hAnsi="仿宋_GB2312" w:eastAsia="仿宋_GB2312" w:cs="仿宋_GB2312"/>
          <w:sz w:val="32"/>
          <w:szCs w:val="32"/>
        </w:rPr>
        <w:t xml:space="preserve">  零售点合理布局遵循依法行政、科学规划、服务社会、</w:t>
      </w:r>
      <w:r>
        <w:rPr>
          <w:rFonts w:hint="eastAsia" w:ascii="仿宋_GB2312" w:hAnsi="仿宋_GB2312" w:eastAsia="仿宋_GB2312" w:cs="仿宋_GB2312"/>
          <w:sz w:val="32"/>
          <w:szCs w:val="32"/>
          <w:lang w:eastAsia="zh-CN"/>
        </w:rPr>
        <w:t>尊重历史、</w:t>
      </w:r>
      <w:r>
        <w:rPr>
          <w:rFonts w:hint="eastAsia" w:ascii="仿宋_GB2312" w:hAnsi="仿宋_GB2312" w:eastAsia="仿宋_GB2312" w:cs="仿宋_GB2312"/>
          <w:sz w:val="32"/>
          <w:szCs w:val="32"/>
        </w:rPr>
        <w:t>均衡发展</w:t>
      </w:r>
      <w:r>
        <w:rPr>
          <w:rFonts w:hint="eastAsia" w:ascii="仿宋_GB2312" w:hAnsi="仿宋_GB2312" w:eastAsia="仿宋_GB2312" w:cs="仿宋_GB2312"/>
          <w:sz w:val="32"/>
          <w:szCs w:val="32"/>
          <w:lang w:eastAsia="zh-CN"/>
        </w:rPr>
        <w:t>、便于消费</w:t>
      </w:r>
      <w:r>
        <w:rPr>
          <w:rFonts w:hint="eastAsia" w:ascii="仿宋_GB2312" w:hAnsi="仿宋_GB2312" w:eastAsia="仿宋_GB2312" w:cs="仿宋_GB2312"/>
          <w:sz w:val="32"/>
          <w:szCs w:val="32"/>
        </w:rPr>
        <w:t>的原则。将</w:t>
      </w:r>
      <w:r>
        <w:rPr>
          <w:rFonts w:hint="eastAsia" w:ascii="仿宋_GB2312" w:hAnsi="仿宋_GB2312" w:eastAsia="仿宋_GB2312" w:cs="仿宋_GB2312"/>
          <w:sz w:val="32"/>
          <w:szCs w:val="32"/>
          <w:lang w:eastAsia="zh-CN"/>
        </w:rPr>
        <w:t>乌恰县</w:t>
      </w:r>
      <w:r>
        <w:rPr>
          <w:rFonts w:hint="eastAsia" w:ascii="仿宋_GB2312" w:hAnsi="仿宋_GB2312" w:eastAsia="仿宋_GB2312" w:cs="仿宋_GB2312"/>
          <w:sz w:val="32"/>
          <w:szCs w:val="32"/>
        </w:rPr>
        <w:t>行政区域划分为社区市场单元、行政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村市场单元、特殊区域市场。根据辖区经济社会发展变化，定期开展评估，实行动态管理。市场单元为最终合理布局规划实施单元，采取“容量+间距+限制性条款”的管理模式。</w:t>
      </w:r>
    </w:p>
    <w:p w14:paraId="0C6E292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第五条</w:t>
      </w:r>
      <w:r>
        <w:rPr>
          <w:rFonts w:hint="default" w:ascii="仿宋_GB2312" w:hAnsi="仿宋_GB2312" w:eastAsia="仿宋_GB2312" w:cs="仿宋_GB2312"/>
          <w:b/>
          <w:bCs/>
          <w:sz w:val="32"/>
          <w:szCs w:val="32"/>
          <w:lang w:val="en-US"/>
        </w:rPr>
        <w:t xml:space="preserve">  </w:t>
      </w:r>
      <w:r>
        <w:rPr>
          <w:rFonts w:hint="eastAsia" w:ascii="仿宋_GB2312" w:hAnsi="仿宋_GB2312" w:eastAsia="仿宋_GB2312" w:cs="仿宋_GB2312"/>
          <w:sz w:val="32"/>
          <w:szCs w:val="32"/>
        </w:rPr>
        <w:t>烟草专卖行政主管部门可结合实际，综合考虑辖区内人口、卷烟销量和盈利水平以及社会经济、持证户数量、烟草市场需求等与烟草制品零售相关的因素，科学测算零售点的合理容量，作为辖区零售点设置容量上限，原则上每半年对单元格内零售点合理容量上限进行测算调整，向社会公布后实施，实现零售点总量动态平衡。</w:t>
      </w:r>
    </w:p>
    <w:p w14:paraId="74D6D19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第六条</w:t>
      </w:r>
      <w:r>
        <w:rPr>
          <w:rFonts w:hint="eastAsia" w:ascii="仿宋_GB2312" w:hAnsi="仿宋_GB2312" w:eastAsia="仿宋_GB2312" w:cs="仿宋_GB2312"/>
          <w:sz w:val="32"/>
          <w:szCs w:val="32"/>
        </w:rPr>
        <w:t xml:space="preserve">  市场单元内零售点数量达到容量上限的，实行轮候管理</w:t>
      </w:r>
      <w:r>
        <w:rPr>
          <w:rFonts w:hint="eastAsia" w:ascii="仿宋_GB2312" w:eastAsia="仿宋_GB2312" w:cs="仿宋_GB2312"/>
          <w:color w:val="auto"/>
          <w:sz w:val="31"/>
          <w:szCs w:val="31"/>
          <w:highlight w:val="none"/>
          <w:lang w:eastAsia="zh-CN"/>
        </w:rPr>
        <w:t>政策</w:t>
      </w:r>
      <w:r>
        <w:rPr>
          <w:rFonts w:hint="eastAsia" w:ascii="仿宋_GB2312" w:hAnsi="仿宋_GB2312" w:eastAsia="仿宋_GB2312" w:cs="仿宋_GB2312"/>
          <w:sz w:val="32"/>
          <w:szCs w:val="32"/>
        </w:rPr>
        <w:t>，轮候管理按照《</w:t>
      </w:r>
      <w:r>
        <w:rPr>
          <w:rFonts w:hint="eastAsia" w:ascii="仿宋_GB2312" w:hAnsi="仿宋_GB2312" w:eastAsia="仿宋_GB2312" w:cs="仿宋_GB2312"/>
          <w:sz w:val="32"/>
          <w:szCs w:val="32"/>
          <w:lang w:eastAsia="zh-CN"/>
        </w:rPr>
        <w:t>乌恰县</w:t>
      </w:r>
      <w:r>
        <w:rPr>
          <w:rFonts w:hint="eastAsia" w:ascii="仿宋_GB2312" w:hAnsi="仿宋_GB2312" w:eastAsia="仿宋_GB2312" w:cs="仿宋_GB2312"/>
          <w:sz w:val="32"/>
          <w:szCs w:val="32"/>
        </w:rPr>
        <w:t>烟草制品零售点轮候管理办法》执行。</w:t>
      </w:r>
    </w:p>
    <w:p w14:paraId="4B3F17B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第七条</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乌恰县</w:t>
      </w:r>
      <w:r>
        <w:rPr>
          <w:rFonts w:hint="eastAsia" w:ascii="仿宋_GB2312" w:hAnsi="仿宋_GB2312" w:eastAsia="仿宋_GB2312" w:cs="仿宋_GB2312"/>
          <w:sz w:val="32"/>
          <w:szCs w:val="32"/>
        </w:rPr>
        <w:t>烟草专卖局</w:t>
      </w:r>
      <w:r>
        <w:rPr>
          <w:rFonts w:hint="eastAsia" w:ascii="仿宋_GB2312" w:hAnsi="仿宋_GB2312" w:eastAsia="仿宋_GB2312" w:cs="仿宋_GB2312"/>
          <w:sz w:val="32"/>
          <w:szCs w:val="32"/>
          <w:lang w:val="en-US" w:eastAsia="zh-CN"/>
        </w:rPr>
        <w:t>调整</w:t>
      </w:r>
      <w:r>
        <w:rPr>
          <w:rFonts w:hint="eastAsia" w:ascii="仿宋_GB2312" w:hAnsi="仿宋_GB2312" w:eastAsia="仿宋_GB2312" w:cs="仿宋_GB2312"/>
          <w:sz w:val="32"/>
          <w:szCs w:val="32"/>
          <w:lang w:eastAsia="zh-CN"/>
        </w:rPr>
        <w:t>网格零售点容量、网格属性等内容</w:t>
      </w:r>
      <w:r>
        <w:rPr>
          <w:rFonts w:hint="eastAsia" w:ascii="仿宋_GB2312" w:hAnsi="仿宋_GB2312" w:eastAsia="仿宋_GB2312" w:cs="仿宋_GB2312"/>
          <w:sz w:val="32"/>
          <w:szCs w:val="32"/>
          <w:lang w:val="en-US" w:eastAsia="zh-CN"/>
        </w:rPr>
        <w:t>原则上每半年不超过两次，</w:t>
      </w:r>
      <w:r>
        <w:rPr>
          <w:rFonts w:hint="eastAsia" w:ascii="仿宋_GB2312" w:hAnsi="仿宋_GB2312" w:eastAsia="仿宋_GB2312" w:cs="仿宋_GB2312"/>
          <w:sz w:val="32"/>
          <w:szCs w:val="32"/>
        </w:rPr>
        <w:t>并通过办证窗口或政府网站</w:t>
      </w:r>
      <w:r>
        <w:rPr>
          <w:rFonts w:hint="eastAsia" w:ascii="仿宋_GB2312" w:hAnsi="仿宋_GB2312" w:eastAsia="仿宋_GB2312" w:cs="仿宋_GB2312"/>
          <w:sz w:val="32"/>
          <w:szCs w:val="32"/>
          <w:lang w:eastAsia="zh-CN"/>
        </w:rPr>
        <w:t>、政务服务大厅或新烟政务通等</w:t>
      </w:r>
      <w:r>
        <w:rPr>
          <w:rFonts w:hint="eastAsia" w:ascii="仿宋_GB2312" w:hAnsi="仿宋_GB2312" w:eastAsia="仿宋_GB2312" w:cs="仿宋_GB2312"/>
          <w:sz w:val="32"/>
          <w:szCs w:val="32"/>
        </w:rPr>
        <w:t>途径向社会公示。申请人可</w:t>
      </w:r>
      <w:r>
        <w:rPr>
          <w:rFonts w:hint="eastAsia" w:ascii="仿宋_GB2312" w:hAnsi="仿宋_GB2312" w:eastAsia="仿宋_GB2312" w:cs="仿宋_GB2312"/>
          <w:sz w:val="32"/>
          <w:szCs w:val="32"/>
          <w:lang w:eastAsia="zh-CN"/>
        </w:rPr>
        <w:t>通过</w:t>
      </w:r>
      <w:r>
        <w:rPr>
          <w:rFonts w:hint="eastAsia" w:ascii="仿宋_GB2312" w:hAnsi="仿宋_GB2312" w:eastAsia="仿宋_GB2312" w:cs="仿宋_GB2312"/>
          <w:sz w:val="32"/>
          <w:szCs w:val="32"/>
          <w:lang w:val="en-US" w:eastAsia="zh-CN"/>
        </w:rPr>
        <w:t>乌恰</w:t>
      </w:r>
      <w:r>
        <w:rPr>
          <w:rFonts w:hint="eastAsia" w:ascii="仿宋_GB2312" w:hAnsi="仿宋_GB2312" w:eastAsia="仿宋_GB2312" w:cs="仿宋_GB2312"/>
          <w:sz w:val="32"/>
          <w:szCs w:val="32"/>
          <w:lang w:eastAsia="zh-CN"/>
        </w:rPr>
        <w:t>县烟草专卖局或</w:t>
      </w:r>
      <w:r>
        <w:rPr>
          <w:rFonts w:hint="eastAsia" w:ascii="仿宋_GB2312" w:hAnsi="仿宋_GB2312" w:eastAsia="仿宋_GB2312" w:cs="仿宋_GB2312"/>
          <w:sz w:val="32"/>
          <w:szCs w:val="32"/>
        </w:rPr>
        <w:t>新烟政务通等媒介查询</w:t>
      </w:r>
      <w:r>
        <w:rPr>
          <w:rFonts w:hint="eastAsia" w:ascii="仿宋_GB2312" w:hAnsi="仿宋_GB2312" w:eastAsia="仿宋_GB2312" w:cs="仿宋_GB2312"/>
          <w:sz w:val="32"/>
          <w:szCs w:val="32"/>
          <w:lang w:val="en-US" w:eastAsia="zh-CN"/>
        </w:rPr>
        <w:t>乌恰</w:t>
      </w:r>
      <w:r>
        <w:rPr>
          <w:rFonts w:hint="eastAsia" w:ascii="仿宋_GB2312" w:hAnsi="仿宋_GB2312" w:eastAsia="仿宋_GB2312" w:cs="仿宋_GB2312"/>
          <w:sz w:val="32"/>
          <w:szCs w:val="32"/>
        </w:rPr>
        <w:t>县烟草制品零售点市场单元</w:t>
      </w:r>
      <w:r>
        <w:rPr>
          <w:rFonts w:hint="eastAsia" w:ascii="仿宋_GB2312" w:hAnsi="仿宋_GB2312" w:eastAsia="仿宋_GB2312" w:cs="仿宋_GB2312"/>
          <w:sz w:val="32"/>
          <w:szCs w:val="32"/>
          <w:lang w:eastAsia="zh-CN"/>
        </w:rPr>
        <w:t>容量</w:t>
      </w:r>
      <w:r>
        <w:rPr>
          <w:rFonts w:hint="eastAsia" w:ascii="仿宋_GB2312" w:hAnsi="仿宋_GB2312" w:eastAsia="仿宋_GB2312" w:cs="仿宋_GB2312"/>
          <w:sz w:val="32"/>
          <w:szCs w:val="32"/>
        </w:rPr>
        <w:t>和轮候名单。</w:t>
      </w:r>
    </w:p>
    <w:p w14:paraId="5AA26089">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第二章  布局规划标准</w:t>
      </w:r>
    </w:p>
    <w:p w14:paraId="6BD08318">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八</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社区市场单元采取“容量+间距+限制性条款”管理模式。</w:t>
      </w:r>
    </w:p>
    <w:p w14:paraId="352BBFD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社区市场单元容量上限可通过政府网站新烟政务通等媒介进行查询。</w:t>
      </w:r>
    </w:p>
    <w:p w14:paraId="685009D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间距设置标准：零售点间隔距离不小于</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米；</w:t>
      </w:r>
    </w:p>
    <w:p w14:paraId="52C1E50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九</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行政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村市场单元采取“容量+间距+限制性条款”管理模式。</w:t>
      </w:r>
    </w:p>
    <w:p w14:paraId="76D71D8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行政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村</w:t>
      </w:r>
      <w:r>
        <w:rPr>
          <w:rFonts w:hint="eastAsia" w:ascii="仿宋_GB2312" w:hAnsi="仿宋_GB2312" w:eastAsia="仿宋_GB2312" w:cs="仿宋_GB2312"/>
          <w:sz w:val="32"/>
          <w:szCs w:val="32"/>
          <w:lang w:val="en-US" w:eastAsia="zh-CN"/>
        </w:rPr>
        <w:t>、乡镇级行政中心零售点</w:t>
      </w:r>
      <w:r>
        <w:rPr>
          <w:rFonts w:hint="eastAsia" w:ascii="仿宋_GB2312" w:hAnsi="仿宋_GB2312" w:eastAsia="仿宋_GB2312" w:cs="仿宋_GB2312"/>
          <w:sz w:val="32"/>
          <w:szCs w:val="32"/>
        </w:rPr>
        <w:t>单元容量上限可通过政府网站或新烟政务通等媒介进行查询。</w:t>
      </w:r>
    </w:p>
    <w:p w14:paraId="61326AE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间距设置标准：零售点间隔距离不小于</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米；</w:t>
      </w:r>
    </w:p>
    <w:p w14:paraId="39694CC6">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262626" w:themeColor="text1" w:themeTint="D9"/>
          <w:kern w:val="2"/>
          <w:sz w:val="32"/>
          <w:szCs w:val="32"/>
          <w:lang w:val="en-US" w:eastAsia="zh-CN" w:bidi="ar-SA"/>
          <w14:textFill>
            <w14:solidFill>
              <w14:schemeClr w14:val="tx1">
                <w14:lumMod w14:val="85000"/>
                <w14:lumOff w14:val="15000"/>
              </w14:schemeClr>
            </w14:solidFill>
          </w14:textFill>
        </w:rPr>
        <w:t xml:space="preserve">第十条  </w:t>
      </w:r>
      <w:r>
        <w:rPr>
          <w:rFonts w:hint="eastAsia" w:ascii="仿宋_GB2312" w:hAnsi="仿宋_GB2312" w:eastAsia="仿宋_GB2312" w:cs="仿宋_GB2312"/>
          <w:sz w:val="32"/>
          <w:szCs w:val="32"/>
          <w:lang w:val="en-US" w:eastAsia="zh-CN"/>
        </w:rPr>
        <w:t>海关口岸采取社区市场单元</w:t>
      </w:r>
      <w:r>
        <w:rPr>
          <w:rFonts w:hint="eastAsia" w:ascii="仿宋_GB2312" w:hAnsi="仿宋_GB2312" w:eastAsia="仿宋_GB2312" w:cs="仿宋_GB2312"/>
          <w:sz w:val="32"/>
          <w:szCs w:val="32"/>
        </w:rPr>
        <w:t>“容量+间距+限制性条款”</w:t>
      </w:r>
      <w:r>
        <w:rPr>
          <w:rFonts w:hint="eastAsia" w:ascii="仿宋_GB2312" w:hAnsi="仿宋_GB2312" w:eastAsia="仿宋_GB2312" w:cs="仿宋_GB2312"/>
          <w:sz w:val="32"/>
          <w:szCs w:val="32"/>
          <w:lang w:val="en-US" w:eastAsia="zh-CN"/>
        </w:rPr>
        <w:t>管理模式</w:t>
      </w:r>
    </w:p>
    <w:p w14:paraId="7CA5E7B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（一）海关口岸</w:t>
      </w:r>
      <w:r>
        <w:rPr>
          <w:rFonts w:hint="eastAsia" w:ascii="仿宋_GB2312" w:hAnsi="仿宋_GB2312" w:eastAsia="仿宋_GB2312" w:cs="仿宋_GB2312"/>
          <w:sz w:val="32"/>
          <w:szCs w:val="32"/>
        </w:rPr>
        <w:t>单元容量上限可通过政府网站及新烟政务通等媒介进行查询。</w:t>
      </w:r>
    </w:p>
    <w:p w14:paraId="0CCA7C9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间距设置标准：零售点间隔距离不小于</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米；</w:t>
      </w:r>
    </w:p>
    <w:p w14:paraId="1FEB02A0">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kern w:val="2"/>
          <w:sz w:val="32"/>
          <w:szCs w:val="32"/>
          <w:lang w:val="en-US" w:eastAsia="zh-CN" w:bidi="ar-SA"/>
          <w14:textFill>
            <w14:solidFill>
              <w14:schemeClr w14:val="tx1"/>
            </w14:solidFill>
          </w14:textFill>
        </w:rPr>
        <w:t>第十一条</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 xml:space="preserve">  相对独立、封闭管理、主要满足区域消费需求的功能区，为零售点布局特殊区，</w:t>
      </w:r>
      <w:r>
        <w:rPr>
          <w:rFonts w:hint="eastAsia" w:ascii="仿宋_GB2312" w:hAnsi="仿宋_GB2312" w:eastAsia="仿宋_GB2312" w:cs="仿宋_GB2312"/>
          <w:color w:val="000000" w:themeColor="text1"/>
          <w:sz w:val="32"/>
          <w:szCs w:val="32"/>
          <w14:textFill>
            <w14:solidFill>
              <w14:schemeClr w14:val="tx1"/>
            </w14:solidFill>
          </w14:textFill>
        </w:rPr>
        <w:t>特殊区域市场单元采取“容量+间距+限制性条款”管理模式。</w:t>
      </w:r>
    </w:p>
    <w:p w14:paraId="12E7ACBB">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一）集贸区零售点按市场内固定门店数（不含摊位数）设置烟草制品零售点数，规模在200个门店以下的综合性农贸、商贸、副食品市场，内设卷烟零售点5个；规模在200户以上的综合性农贸、商贸、副食品市场，每增加50个门店增设1个零售点，市场内零售点数不超过7个。</w:t>
      </w:r>
    </w:p>
    <w:p w14:paraId="6E1C625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集贸区申请户与最近零售点间隔距离不小于</w:t>
      </w:r>
      <w:r>
        <w:rPr>
          <w:rFonts w:hint="default"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lang w:val="en-US" w:eastAsia="zh-CN"/>
        </w:rPr>
        <w:t>米。</w:t>
      </w:r>
    </w:p>
    <w:p w14:paraId="2F7B2DA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二</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旅游景点问询处（游客集散中心）内原则上设置2个零售点。</w:t>
      </w:r>
    </w:p>
    <w:p w14:paraId="5ED66A5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三</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具有购物、餐饮、休闲、娱乐等单一或复合功能，具有一定规模的商业街临街商铺零售点设置，每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个商铺设置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个零售点，零售点应设置在一层及以下。</w:t>
      </w:r>
    </w:p>
    <w:p w14:paraId="2F77A30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四</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长途汽车站、火车站等交通枢纽等候厅原则上</w:t>
      </w:r>
      <w:r>
        <w:rPr>
          <w:rFonts w:hint="default" w:ascii="仿宋_GB2312" w:hAnsi="仿宋_GB2312" w:eastAsia="仿宋_GB2312" w:cs="仿宋_GB2312"/>
          <w:sz w:val="32"/>
          <w:szCs w:val="32"/>
          <w:lang w:val="en-US" w:eastAsia="zh-CN"/>
        </w:rPr>
        <w:t>设置</w:t>
      </w:r>
      <w:r>
        <w:rPr>
          <w:rFonts w:hint="eastAsia"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val="en-US" w:eastAsia="zh-CN"/>
        </w:rPr>
        <w:t>个零售点</w:t>
      </w:r>
      <w:r>
        <w:rPr>
          <w:rFonts w:hint="eastAsia" w:ascii="仿宋_GB2312" w:hAnsi="仿宋_GB2312" w:eastAsia="仿宋_GB2312" w:cs="仿宋_GB2312"/>
          <w:sz w:val="32"/>
          <w:szCs w:val="32"/>
          <w:lang w:val="en-US" w:eastAsia="zh-CN"/>
        </w:rPr>
        <w:t>。</w:t>
      </w:r>
    </w:p>
    <w:p w14:paraId="67D47391">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（五）军事单位、拘留所、看守所、戒毒所、监狱内等原则上设置1个零售点。</w:t>
      </w:r>
    </w:p>
    <w:p w14:paraId="728F635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（六）交通枢纽停靠点。为临时过往车辆提供餐饮、日杂商品售卖等服务的场所，每个交通枢纽停靠点原则上设置1个零售点。</w:t>
      </w:r>
    </w:p>
    <w:p w14:paraId="6D09675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（七）厂区、矿区、建筑工地。原则上设置1个零售点。</w:t>
      </w:r>
    </w:p>
    <w:p w14:paraId="025BE958">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工业生活区按每300人设置1个零售点，不满300人设置1个零售点。每增加150人可增设1个零售点，原则上不超过3个零售点。</w:t>
      </w:r>
    </w:p>
    <w:p w14:paraId="69E5164B">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（八）</w:t>
      </w:r>
      <w:r>
        <w:rPr>
          <w:rFonts w:hint="eastAsia" w:ascii="仿宋_GB2312" w:hAnsi="仿宋_GB2312" w:eastAsia="仿宋_GB2312" w:cs="仿宋_GB2312"/>
          <w:sz w:val="32"/>
          <w:szCs w:val="32"/>
        </w:rPr>
        <w:t>有设置项目部的且工程工期在一年以上的建筑工地，用工人数在</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人以上的，可在</w:t>
      </w:r>
      <w:r>
        <w:rPr>
          <w:rFonts w:hint="eastAsia" w:ascii="仿宋_GB2312" w:hAnsi="仿宋_GB2312" w:eastAsia="仿宋_GB2312" w:cs="仿宋_GB2312"/>
          <w:sz w:val="32"/>
          <w:szCs w:val="32"/>
          <w:lang w:eastAsia="zh-CN"/>
        </w:rPr>
        <w:t>建筑工地</w:t>
      </w:r>
      <w:r>
        <w:rPr>
          <w:rFonts w:hint="eastAsia" w:ascii="仿宋_GB2312" w:hAnsi="仿宋_GB2312" w:eastAsia="仿宋_GB2312" w:cs="仿宋_GB2312"/>
          <w:sz w:val="32"/>
          <w:szCs w:val="32"/>
        </w:rPr>
        <w:t>内设</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个零售点。</w:t>
      </w:r>
    </w:p>
    <w:p w14:paraId="7DCB37D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262626" w:themeColor="text1" w:themeTint="D9"/>
          <w:kern w:val="2"/>
          <w:sz w:val="32"/>
          <w:szCs w:val="32"/>
          <w:highlight w:val="none"/>
          <w:lang w:val="en-US" w:eastAsia="zh-CN" w:bidi="ar-SA"/>
          <w14:textFill>
            <w14:solidFill>
              <w14:schemeClr w14:val="tx1">
                <w14:lumMod w14:val="85000"/>
                <w14:lumOff w14:val="15000"/>
              </w14:schemeClr>
            </w14:solidFill>
          </w14:textFill>
        </w:rPr>
      </w:pPr>
      <w:r>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t>(九）</w:t>
      </w:r>
      <w:r>
        <w:rPr>
          <w:rFonts w:hint="default" w:ascii="仿宋_GB2312" w:hAnsi="仿宋_GB2312" w:eastAsia="仿宋_GB2312" w:cs="仿宋_GB2312"/>
          <w:b w:val="0"/>
          <w:bCs w:val="0"/>
          <w:i w:val="0"/>
          <w:iCs w:val="0"/>
          <w:caps w:val="0"/>
          <w:color w:val="262626" w:themeColor="text1" w:themeTint="D9"/>
          <w:spacing w:val="0"/>
          <w:sz w:val="32"/>
          <w:szCs w:val="32"/>
          <w:highlight w:val="none"/>
          <w:shd w:val="clear" w:color="auto" w:fill="auto"/>
          <w14:textFill>
            <w14:solidFill>
              <w14:schemeClr w14:val="tx1">
                <w14:lumMod w14:val="85000"/>
                <w14:lumOff w14:val="15000"/>
              </w14:schemeClr>
            </w14:solidFill>
          </w14:textFill>
        </w:rPr>
        <w:t>社区市场单元内的</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eastAsia="zh-CN"/>
          <w14:textFill>
            <w14:solidFill>
              <w14:schemeClr w14:val="tx1">
                <w14:lumMod w14:val="85000"/>
                <w14:lumOff w14:val="15000"/>
              </w14:schemeClr>
            </w14:solidFill>
          </w14:textFill>
        </w:rPr>
        <w:t>新建小区自交付使用</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val="en-US" w:eastAsia="zh-CN"/>
          <w14:textFill>
            <w14:solidFill>
              <w14:schemeClr w14:val="tx1">
                <w14:lumMod w14:val="85000"/>
                <w14:lumOff w14:val="15000"/>
              </w14:schemeClr>
            </w14:solidFill>
          </w14:textFill>
        </w:rPr>
        <w:t>1年内</w:t>
      </w:r>
      <w:r>
        <w:rPr>
          <w:rFonts w:hint="default" w:ascii="仿宋_GB2312" w:hAnsi="仿宋_GB2312" w:eastAsia="仿宋_GB2312" w:cs="仿宋_GB2312"/>
          <w:b w:val="0"/>
          <w:bCs w:val="0"/>
          <w:i w:val="0"/>
          <w:iCs w:val="0"/>
          <w:caps w:val="0"/>
          <w:color w:val="262626" w:themeColor="text1" w:themeTint="D9"/>
          <w:spacing w:val="0"/>
          <w:sz w:val="32"/>
          <w:szCs w:val="32"/>
          <w:highlight w:val="none"/>
          <w:shd w:val="clear" w:color="auto" w:fill="auto"/>
          <w14:textFill>
            <w14:solidFill>
              <w14:schemeClr w14:val="tx1">
                <w14:lumMod w14:val="85000"/>
                <w14:lumOff w14:val="15000"/>
              </w14:schemeClr>
            </w14:solidFill>
          </w14:textFill>
        </w:rPr>
        <w:t>，不受</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val="en-US" w:eastAsia="zh-CN"/>
          <w14:textFill>
            <w14:solidFill>
              <w14:schemeClr w14:val="tx1">
                <w14:lumMod w14:val="85000"/>
                <w14:lumOff w14:val="15000"/>
              </w14:schemeClr>
            </w14:solidFill>
          </w14:textFill>
        </w:rPr>
        <w:t>所在社区</w:t>
      </w:r>
      <w:r>
        <w:rPr>
          <w:rFonts w:hint="default" w:ascii="仿宋_GB2312" w:hAnsi="仿宋_GB2312" w:eastAsia="仿宋_GB2312" w:cs="仿宋_GB2312"/>
          <w:b w:val="0"/>
          <w:bCs w:val="0"/>
          <w:i w:val="0"/>
          <w:iCs w:val="0"/>
          <w:caps w:val="0"/>
          <w:color w:val="262626" w:themeColor="text1" w:themeTint="D9"/>
          <w:spacing w:val="0"/>
          <w:sz w:val="32"/>
          <w:szCs w:val="32"/>
          <w:highlight w:val="none"/>
          <w:shd w:val="clear" w:color="auto" w:fill="auto"/>
          <w14:textFill>
            <w14:solidFill>
              <w14:schemeClr w14:val="tx1">
                <w14:lumMod w14:val="85000"/>
                <w14:lumOff w14:val="15000"/>
              </w14:schemeClr>
            </w14:solidFill>
          </w14:textFill>
        </w:rPr>
        <w:t>市场单元容量限制</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eastAsia="zh-CN"/>
          <w14:textFill>
            <w14:solidFill>
              <w14:schemeClr w14:val="tx1">
                <w14:lumMod w14:val="85000"/>
                <w14:lumOff w14:val="15000"/>
              </w14:schemeClr>
            </w14:solidFill>
          </w14:textFill>
        </w:rPr>
        <w:t>，</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val="en-US" w:eastAsia="zh-CN"/>
          <w14:textFill>
            <w14:solidFill>
              <w14:schemeClr w14:val="tx1">
                <w14:lumMod w14:val="85000"/>
                <w14:lumOff w14:val="15000"/>
              </w14:schemeClr>
            </w14:solidFill>
          </w14:textFill>
        </w:rPr>
        <w:t>按照小区住宅户数设置零售点，不满20户（门面）的，可设置1个零售点，每增加20户（门面）增设1个零售点。</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14:textFill>
            <w14:solidFill>
              <w14:schemeClr w14:val="tx1">
                <w14:lumMod w14:val="85000"/>
                <w14:lumOff w14:val="15000"/>
              </w14:schemeClr>
            </w14:solidFill>
          </w14:textFill>
        </w:rPr>
        <w:t>零售点</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val="en-US" w:eastAsia="zh-CN"/>
          <w14:textFill>
            <w14:solidFill>
              <w14:schemeClr w14:val="tx1">
                <w14:lumMod w14:val="85000"/>
                <w14:lumOff w14:val="15000"/>
              </w14:schemeClr>
            </w14:solidFill>
          </w14:textFill>
        </w:rPr>
        <w:t>间距不少于30米</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14:textFill>
            <w14:solidFill>
              <w14:schemeClr w14:val="tx1">
                <w14:lumMod w14:val="85000"/>
                <w14:lumOff w14:val="15000"/>
              </w14:schemeClr>
            </w14:solidFill>
          </w14:textFill>
        </w:rPr>
        <w:t>。</w:t>
      </w:r>
      <w:r>
        <w:rPr>
          <w:rFonts w:hint="eastAsia" w:ascii="仿宋_GB2312" w:hAnsi="仿宋_GB2312" w:eastAsia="仿宋_GB2312" w:cs="仿宋_GB2312"/>
          <w:b w:val="0"/>
          <w:bCs w:val="0"/>
          <w:i w:val="0"/>
          <w:iCs w:val="0"/>
          <w:caps w:val="0"/>
          <w:color w:val="262626" w:themeColor="text1" w:themeTint="D9"/>
          <w:spacing w:val="0"/>
          <w:sz w:val="32"/>
          <w:szCs w:val="32"/>
          <w:highlight w:val="none"/>
          <w:shd w:val="clear" w:color="auto" w:fill="auto"/>
          <w:lang w:val="en-US" w:eastAsia="zh-CN"/>
          <w14:textFill>
            <w14:solidFill>
              <w14:schemeClr w14:val="tx1">
                <w14:lumMod w14:val="85000"/>
                <w14:lumOff w14:val="15000"/>
              </w14:schemeClr>
            </w14:solidFill>
          </w14:textFill>
        </w:rPr>
        <w:t>设置零售点原则上不超过2个。</w:t>
      </w:r>
    </w:p>
    <w:p w14:paraId="048D376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center"/>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 xml:space="preserve">章 </w:t>
      </w:r>
      <w:r>
        <w:rPr>
          <w:rFonts w:hint="eastAsia" w:ascii="仿宋_GB2312" w:hAnsi="仿宋_GB2312" w:eastAsia="仿宋_GB2312" w:cs="仿宋_GB2312"/>
          <w:b/>
          <w:bCs/>
          <w:sz w:val="32"/>
          <w:szCs w:val="32"/>
          <w:lang w:eastAsia="zh-CN"/>
        </w:rPr>
        <w:t>放宽</w:t>
      </w:r>
      <w:r>
        <w:rPr>
          <w:rFonts w:hint="eastAsia" w:ascii="仿宋_GB2312" w:hAnsi="仿宋_GB2312" w:eastAsia="仿宋_GB2312" w:cs="仿宋_GB2312"/>
          <w:b/>
          <w:bCs/>
          <w:sz w:val="32"/>
          <w:szCs w:val="32"/>
        </w:rPr>
        <w:t>政策</w:t>
      </w:r>
    </w:p>
    <w:p w14:paraId="3B623D1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w:t>
      </w: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符合下列情形之一的，不受市场单元容量、距离限制。</w:t>
      </w:r>
    </w:p>
    <w:p w14:paraId="25F5B4B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262626" w:themeColor="text1" w:themeTint="D9"/>
          <w:kern w:val="2"/>
          <w:sz w:val="32"/>
          <w:szCs w:val="32"/>
          <w:highlight w:val="green"/>
          <w:lang w:val="en-US" w:eastAsia="zh-CN" w:bidi="ar-SA"/>
          <w14:textFill>
            <w14:solidFill>
              <w14:schemeClr w14:val="tx1">
                <w14:lumMod w14:val="85000"/>
                <w14:lumOff w14:val="15000"/>
              </w14:schemeClr>
            </w14:solidFill>
          </w14:textFill>
        </w:rPr>
      </w:pPr>
      <w:r>
        <w:rPr>
          <w:rFonts w:hint="eastAsia" w:ascii="仿宋_GB2312" w:hAnsi="仿宋_GB2312" w:eastAsia="仿宋_GB2312" w:cs="仿宋_GB2312"/>
          <w:color w:val="262626" w:themeColor="text1" w:themeTint="D9"/>
          <w:kern w:val="2"/>
          <w:sz w:val="32"/>
          <w:szCs w:val="32"/>
          <w:highlight w:val="none"/>
          <w:lang w:val="en-US" w:eastAsia="zh-CN" w:bidi="ar-SA"/>
          <w14:textFill>
            <w14:solidFill>
              <w14:schemeClr w14:val="tx1">
                <w14:lumMod w14:val="85000"/>
                <w14:lumOff w14:val="15000"/>
              </w14:schemeClr>
            </w14:solidFill>
          </w14:textFill>
        </w:rPr>
        <w:t>（一）单层营业面积(不包括独立的仓储、办公场所)在</w:t>
      </w: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100平方米以上的</w:t>
      </w:r>
      <w:r>
        <w:rPr>
          <w:rFonts w:hint="eastAsia" w:ascii="仿宋_GB2312" w:hAnsi="仿宋_GB2312" w:eastAsia="仿宋_GB2312" w:cs="仿宋_GB2312"/>
          <w:color w:val="262626" w:themeColor="text1" w:themeTint="D9"/>
          <w:kern w:val="2"/>
          <w:sz w:val="32"/>
          <w:szCs w:val="32"/>
          <w:highlight w:val="none"/>
          <w:lang w:val="en-US" w:eastAsia="zh-CN" w:bidi="ar-SA"/>
          <w14:textFill>
            <w14:solidFill>
              <w14:schemeClr w14:val="tx1">
                <w14:lumMod w14:val="85000"/>
                <w14:lumOff w14:val="15000"/>
              </w14:schemeClr>
            </w14:solidFill>
          </w14:textFill>
        </w:rPr>
        <w:t>烟草专业店、便利店、超市。</w:t>
      </w:r>
    </w:p>
    <w:p w14:paraId="491FCC8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属于军烈属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含烈士遗属、因公牺牲军人遗属等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、残疾军人的个体工商户，本人首次申请办理烟草专卖零售许可证；</w:t>
      </w:r>
    </w:p>
    <w:p w14:paraId="6A993A2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sz w:val="32"/>
          <w:szCs w:val="32"/>
          <w:lang w:eastAsia="zh-CN"/>
        </w:rPr>
        <w:t>（三）属于</w:t>
      </w:r>
      <w:r>
        <w:rPr>
          <w:rFonts w:hint="eastAsia" w:ascii="仿宋_GB2312" w:hAnsi="仿宋_GB2312" w:eastAsia="仿宋_GB2312" w:cs="仿宋_GB2312"/>
          <w:b w:val="0"/>
          <w:color w:val="auto"/>
          <w:sz w:val="32"/>
          <w:highlight w:val="none"/>
          <w:lang w:val="en-US" w:eastAsia="zh-CN"/>
        </w:rPr>
        <w:t>《警民共建、从优待警、惠警帮扶合作备忘录》《新疆维吾尔自治区烟草专卖局 自治区公安厅特侦队警民共建、从优待警、惠警帮扶合作备忘录》等制度规定的情形。</w:t>
      </w:r>
    </w:p>
    <w:p w14:paraId="7D28097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非家庭经营的持证个体工商户，两年内无涉烟违法记录，因持证人死亡或者丧失民事行为能力，烟草专卖零售许可证被依法注销后30个自然日内，原持证人的家庭成员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具有完全民事行为能力的配偶、父母或子女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申请在原经营场所申请新办烟草专卖零售许可证的。</w:t>
      </w:r>
    </w:p>
    <w:p w14:paraId="3F6154E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（五）具备安全保障措施的加油站、加气站、加能站便利店。</w:t>
      </w:r>
    </w:p>
    <w:p w14:paraId="209A7120">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rPr>
        <w:t>第十</w:t>
      </w: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有下列情形之一的，不受市场单元容量</w:t>
      </w:r>
      <w:r>
        <w:rPr>
          <w:rFonts w:hint="eastAsia" w:ascii="仿宋_GB2312" w:hAnsi="仿宋_GB2312" w:eastAsia="仿宋_GB2312" w:cs="仿宋_GB2312"/>
          <w:sz w:val="32"/>
          <w:szCs w:val="32"/>
          <w:lang w:eastAsia="zh-CN"/>
        </w:rPr>
        <w:t>限制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距离上放宽</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w:t>
      </w:r>
    </w:p>
    <w:p w14:paraId="38E757F9">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持有三级以上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含三级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残疾人证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含视力残疾、听力残疾、言语残疾或肢体残疾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的个体工商户，本人首次申请办理烟草专卖零售许可证；</w:t>
      </w:r>
    </w:p>
    <w:p w14:paraId="3EEE9B8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退役军人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持有转业或退伍军人证件，以转业、退伍军人证颁发日期为准，退役后三年内</w:t>
      </w:r>
      <w:r>
        <w:rPr>
          <w:rFonts w:hint="eastAsia" w:ascii="仿宋_GB2312" w:hAnsi="仿宋_GB2312" w:eastAsia="仿宋_GB2312" w:cs="仿宋_GB2312"/>
          <w:sz w:val="32"/>
          <w:szCs w:val="32"/>
          <w:lang w:eastAsia="zh-CN"/>
        </w:rPr>
        <w:t>首次申请的）</w:t>
      </w:r>
      <w:r>
        <w:rPr>
          <w:rFonts w:hint="eastAsia" w:ascii="仿宋_GB2312" w:hAnsi="仿宋_GB2312" w:eastAsia="仿宋_GB2312" w:cs="仿宋_GB2312"/>
          <w:sz w:val="32"/>
          <w:szCs w:val="32"/>
        </w:rPr>
        <w:t>；</w:t>
      </w:r>
    </w:p>
    <w:p w14:paraId="567F180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属于低保户的个体工商户，本人首次申请办理许可证，且经营场所为其唯一经营场所的。</w:t>
      </w:r>
    </w:p>
    <w:p w14:paraId="3AB300E8">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因中小学、幼儿园新建、改造导致的先店后校、先店后门等情况，以及合理布局标准修订等客观原因造成中小学、幼儿园周边零售点不符合相关要求，持证人申请变更到原发证机关辖区内其他地址经营的。</w:t>
      </w:r>
    </w:p>
    <w:p w14:paraId="3A7A3D0E">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因道路规划、城市建设、房屋征收等客观原因造成无法在核定的经营地址继续经营的零售点，持证人申请变更到原发证机关</w:t>
      </w:r>
      <w:r>
        <w:rPr>
          <w:rFonts w:hint="eastAsia" w:ascii="仿宋_GB2312" w:hAnsi="仿宋_GB2312" w:eastAsia="仿宋_GB2312" w:cs="仿宋_GB2312"/>
          <w:sz w:val="32"/>
          <w:szCs w:val="32"/>
          <w:lang w:val="en-US" w:eastAsia="zh-CN"/>
        </w:rPr>
        <w:t>辖区内</w:t>
      </w:r>
      <w:r>
        <w:rPr>
          <w:rFonts w:hint="eastAsia" w:ascii="仿宋_GB2312" w:hAnsi="仿宋_GB2312" w:eastAsia="仿宋_GB2312" w:cs="仿宋_GB2312"/>
          <w:sz w:val="32"/>
          <w:szCs w:val="32"/>
        </w:rPr>
        <w:t>其他地址经营的；</w:t>
      </w:r>
    </w:p>
    <w:p w14:paraId="4A0812B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sz w:val="32"/>
          <w:szCs w:val="32"/>
          <w:lang w:eastAsia="zh-CN"/>
        </w:rPr>
        <w:t>六）</w:t>
      </w:r>
      <w:r>
        <w:rPr>
          <w:rFonts w:hint="eastAsia" w:ascii="仿宋_GB2312" w:hAnsi="仿宋_GB2312" w:eastAsia="仿宋_GB2312" w:cs="仿宋_GB2312"/>
          <w:sz w:val="32"/>
          <w:szCs w:val="32"/>
        </w:rPr>
        <w:t>在原发证机关辖区范围内连续经营≥3年，且近3年内</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违法违规处罚记录的持证人，因租金上涨、租赁期满等客观原因办理歇业或注销手续后，在≤6个月内于原发证机关同一单元格内其他经营地址申请新办零售点的。</w:t>
      </w:r>
    </w:p>
    <w:p w14:paraId="070765BB">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（七）</w:t>
      </w:r>
      <w:r>
        <w:rPr>
          <w:rFonts w:hint="eastAsia" w:ascii="仿宋_GB2312" w:hAnsi="仿宋_GB2312" w:eastAsia="仿宋_GB2312" w:cs="仿宋_GB2312"/>
          <w:sz w:val="32"/>
          <w:szCs w:val="32"/>
        </w:rPr>
        <w:t>国家或当地政府明文规定给予政策扶持并经属地烟草专卖局集体研究认为可以扶持照顾的对象，本人首次申请办理烟草专卖零售许可证。</w:t>
      </w:r>
    </w:p>
    <w:p w14:paraId="62EF080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center"/>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第四章 雪茄烟零售点布局</w:t>
      </w:r>
    </w:p>
    <w:p w14:paraId="36C81D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jc w:val="left"/>
        <w:textAlignment w:val="auto"/>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pPr>
      <w:r>
        <w:rPr>
          <w:rFonts w:hint="eastAsia" w:ascii="仿宋_GB2312" w:hAnsi="仿宋_GB2312" w:eastAsia="仿宋_GB2312" w:cs="仿宋_GB2312"/>
          <w:b/>
          <w:bCs/>
          <w:color w:val="262626" w:themeColor="text1" w:themeTint="D9"/>
          <w:kern w:val="2"/>
          <w:sz w:val="32"/>
          <w:szCs w:val="32"/>
          <w:lang w:val="en-US" w:eastAsia="zh-CN" w:bidi="ar-SA"/>
          <w14:textFill>
            <w14:solidFill>
              <w14:schemeClr w14:val="tx1">
                <w14:lumMod w14:val="85000"/>
                <w14:lumOff w14:val="15000"/>
              </w14:schemeClr>
            </w14:solidFill>
          </w14:textFill>
        </w:rPr>
        <w:t>第十四条</w:t>
      </w:r>
      <w:r>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t xml:space="preserve"> 申请烟草专卖零售许可范围仅为“雪茄烟本店零售”的零售点，不划定市场单元，不受间距限制，但采取数量限制模式。原则上，雪茄烟专营店指导数不超过上年度本辖区烟草制品零售点总数的千分之五，且应满足开展雪茄烟经营的经营场所条件。</w:t>
      </w:r>
    </w:p>
    <w:p w14:paraId="601411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jc w:val="left"/>
        <w:textAlignment w:val="auto"/>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pPr>
      <w:r>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t>雪茄烟专营店申请变更经营范围，增加或调整为卷烟零售的，应当遵守本规划的布局管控要求。</w:t>
      </w:r>
    </w:p>
    <w:p w14:paraId="17F6DEAE">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t>雪茄专营店与非雪茄专营店之间，互不作为零售点间距、数量核算的参照物。</w:t>
      </w:r>
    </w:p>
    <w:p w14:paraId="32534AE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五</w:t>
      </w:r>
      <w:r>
        <w:rPr>
          <w:rFonts w:hint="eastAsia" w:ascii="仿宋_GB2312" w:hAnsi="仿宋_GB2312" w:eastAsia="仿宋_GB2312" w:cs="仿宋_GB2312"/>
          <w:b/>
          <w:bCs/>
          <w:sz w:val="32"/>
          <w:szCs w:val="32"/>
        </w:rPr>
        <w:t>章</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限制性条款</w:t>
      </w:r>
    </w:p>
    <w:p w14:paraId="1DDEFE7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十五</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有下列情形之一的，不予发放烟草专卖零售许可证：</w:t>
      </w:r>
    </w:p>
    <w:p w14:paraId="67827BA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经营主体</w:t>
      </w:r>
    </w:p>
    <w:p w14:paraId="55DF5BA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经营主体有下列情形之一的，不予发放烟草专卖零售许可证：</w:t>
      </w:r>
    </w:p>
    <w:p w14:paraId="23B7431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1.未成年人、无民事行为能力人及限制民事行为能力人；</w:t>
      </w:r>
    </w:p>
    <w:p w14:paraId="056F457E">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2.外商投资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含以特许、吸纳加盟店及其他再投资形式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的商业企业或者个体工商户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有外资成分，以提供住宿、餐饮、休闲、娱乐为主要经营的宾馆、酒店等企业除外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04CA60B">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3.被取消从事烟草专卖业务资格不满三年的；</w:t>
      </w:r>
    </w:p>
    <w:p w14:paraId="768EB7C0">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4.因申请人隐瞒有关情况或者提供虚假材料，烟草专卖局作出不予受理或者不予发证决定后，申请人一年内再次提出申请的；</w:t>
      </w:r>
    </w:p>
    <w:p w14:paraId="1B7893B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5.因申请人以欺骗、贿赂等不正当手段取得的烟草专卖零售许可证被撤销后，申请人三年内再次提出申请的；</w:t>
      </w:r>
    </w:p>
    <w:p w14:paraId="299331F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6.未领取烟草专卖零售许可证经营烟草专卖品业务，并且一年内被执法机关处罚两次以上，在三年内申请领取烟草专卖零售许可证的；</w:t>
      </w:r>
    </w:p>
    <w:p w14:paraId="15E4B6C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7.因未领取烟草专卖零售许可证经营烟草专卖品业务被追究刑事责任，在三年内申请领取烟草专卖零售许可证的；</w:t>
      </w:r>
    </w:p>
    <w:p w14:paraId="58D9AA1A">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8.未取得营业执照的；</w:t>
      </w:r>
    </w:p>
    <w:p w14:paraId="60EC99AE">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9.法律法规、规章规定的其他不予发证的情形。</w:t>
      </w:r>
    </w:p>
    <w:p w14:paraId="5CFAADD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经营区域</w:t>
      </w:r>
    </w:p>
    <w:p w14:paraId="375B78F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1.位于中小学、幼儿园</w:t>
      </w:r>
      <w:r>
        <w:rPr>
          <w:rFonts w:hint="eastAsia" w:ascii="仿宋_GB2312" w:hAnsi="仿宋_GB2312" w:eastAsia="仿宋_GB2312" w:cs="仿宋_GB2312"/>
          <w:sz w:val="32"/>
          <w:szCs w:val="32"/>
          <w:lang w:eastAsia="zh-CN"/>
        </w:rPr>
        <w:t>内部及主要出入口（门）</w:t>
      </w:r>
      <w:r>
        <w:rPr>
          <w:rFonts w:hint="eastAsia" w:ascii="仿宋_GB2312" w:hAnsi="仿宋_GB2312" w:eastAsia="仿宋_GB2312" w:cs="仿宋_GB2312"/>
          <w:sz w:val="32"/>
          <w:szCs w:val="32"/>
        </w:rPr>
        <w:t>100米范围内的。</w:t>
      </w:r>
    </w:p>
    <w:p w14:paraId="48F2F8D2">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2.少年宫、未成年教育培训机构等</w:t>
      </w:r>
      <w:r>
        <w:rPr>
          <w:rFonts w:hint="eastAsia" w:ascii="仿宋_GB2312" w:hAnsi="仿宋_GB2312" w:eastAsia="仿宋_GB2312" w:cs="仿宋_GB2312"/>
          <w:sz w:val="32"/>
          <w:szCs w:val="32"/>
        </w:rPr>
        <w:t>以未成年人为教育</w:t>
      </w:r>
      <w:r>
        <w:rPr>
          <w:rFonts w:hint="eastAsia" w:ascii="仿宋_GB2312" w:hAnsi="仿宋_GB2312" w:eastAsia="仿宋_GB2312" w:cs="仿宋_GB2312"/>
          <w:sz w:val="32"/>
          <w:szCs w:val="32"/>
          <w:lang w:eastAsia="zh-CN"/>
        </w:rPr>
        <w:t>服务</w:t>
      </w:r>
      <w:r>
        <w:rPr>
          <w:rFonts w:hint="eastAsia" w:ascii="仿宋_GB2312" w:hAnsi="仿宋_GB2312" w:eastAsia="仿宋_GB2312" w:cs="仿宋_GB2312"/>
          <w:sz w:val="32"/>
          <w:szCs w:val="32"/>
        </w:rPr>
        <w:t>对象的</w:t>
      </w:r>
      <w:r>
        <w:rPr>
          <w:rFonts w:hint="eastAsia" w:ascii="仿宋_GB2312" w:hAnsi="仿宋_GB2312" w:eastAsia="仿宋_GB2312" w:cs="仿宋_GB2312"/>
          <w:sz w:val="32"/>
          <w:szCs w:val="32"/>
          <w:lang w:eastAsia="zh-CN"/>
        </w:rPr>
        <w:t>机构</w:t>
      </w:r>
      <w:r>
        <w:rPr>
          <w:rFonts w:hint="eastAsia" w:ascii="仿宋_GB2312" w:hAnsi="仿宋_GB2312" w:eastAsia="仿宋_GB2312" w:cs="仿宋_GB2312"/>
          <w:sz w:val="32"/>
          <w:szCs w:val="32"/>
        </w:rPr>
        <w:t>内部</w:t>
      </w:r>
      <w:r>
        <w:rPr>
          <w:rFonts w:hint="eastAsia" w:ascii="仿宋_GB2312" w:hAnsi="仿宋_GB2312" w:eastAsia="仿宋_GB2312" w:cs="仿宋_GB2312"/>
          <w:sz w:val="32"/>
          <w:szCs w:val="32"/>
          <w:lang w:eastAsia="zh-CN"/>
        </w:rPr>
        <w:t>；</w:t>
      </w:r>
    </w:p>
    <w:p w14:paraId="3E62C82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3.党政机关内部、所属行业行政主管部门明令禁止经营烟草制品的区域。</w:t>
      </w:r>
    </w:p>
    <w:p w14:paraId="4192535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三</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经营场所</w:t>
      </w:r>
    </w:p>
    <w:p w14:paraId="14B1D93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1.“无固定经营场所”包括但不限于如流动摊点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车、棚、柜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、违章建筑、临时建筑、危房以及尚未竣工或未交付使用的场所等；居民楼、商用楼内公用楼梯间或公用巷道；</w:t>
      </w:r>
    </w:p>
    <w:p w14:paraId="73A472F8">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2.与住所不相独立的经营场所是指如住宅公寓、仓库、生活住所的车库、地下室、储藏室等未对消费者全开放的场所等；</w:t>
      </w:r>
    </w:p>
    <w:p w14:paraId="5E74B77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经营场所基于安全因素不适宜经营烟草制品，包括但不限于生产、经营、储存有毒有害、易燃易爆、放射性、易挥发及具有刺激性气味等物品，容易造成烟草制品污染的油漆化工、农药化肥、烟花爆竹、机油制品等的场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符合法定条件，具备安全保障措施的加油站、加气站便利店除外 。</w:t>
      </w:r>
    </w:p>
    <w:p w14:paraId="380DC15E">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bCs/>
          <w:sz w:val="32"/>
          <w:szCs w:val="32"/>
        </w:rPr>
      </w:pPr>
      <w:r>
        <w:rPr>
          <w:rFonts w:hint="default"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经营场所主营业务与烟草制品零售业务没有直接或间接互补营销关系的场所。</w:t>
      </w:r>
    </w:p>
    <w:p w14:paraId="2AEBBC05">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四</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经营模式</w:t>
      </w:r>
    </w:p>
    <w:p w14:paraId="6439FB5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1.利用自动售货机或者其他自动售货形式，销售或者变相销售烟草制品的</w:t>
      </w:r>
      <w:r>
        <w:rPr>
          <w:rFonts w:hint="eastAsia" w:ascii="仿宋_GB2312" w:hAnsi="仿宋_GB2312" w:eastAsia="仿宋_GB2312" w:cs="仿宋_GB2312"/>
          <w:sz w:val="32"/>
          <w:szCs w:val="32"/>
          <w:lang w:eastAsia="zh-CN"/>
        </w:rPr>
        <w:t>（含</w:t>
      </w:r>
      <w:r>
        <w:rPr>
          <w:rFonts w:hint="eastAsia" w:ascii="仿宋_GB2312" w:hAnsi="仿宋_GB2312" w:eastAsia="仿宋_GB2312" w:cs="仿宋_GB2312"/>
          <w:sz w:val="32"/>
          <w:szCs w:val="32"/>
        </w:rPr>
        <w:t>无人超市、无人商店等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748DF94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2.利用信息网络渠道销售烟草专卖品的；</w:t>
      </w:r>
    </w:p>
    <w:p w14:paraId="3B042A52">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十六</w:t>
      </w:r>
      <w:r>
        <w:rPr>
          <w:rFonts w:hint="eastAsia" w:ascii="仿宋_GB2312" w:hAnsi="仿宋_GB2312" w:eastAsia="仿宋_GB2312" w:cs="仿宋_GB2312"/>
          <w:b/>
          <w:bCs/>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法律、法规、规章和规范性文件规定的其他禁止准入情形。</w:t>
      </w:r>
    </w:p>
    <w:p w14:paraId="567F5726">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w:t>
      </w:r>
      <w:r>
        <w:rPr>
          <w:rFonts w:hint="eastAsia" w:ascii="仿宋_GB2312" w:hAnsi="仿宋_GB2312" w:eastAsia="仿宋_GB2312" w:cs="仿宋_GB2312"/>
          <w:b/>
          <w:bCs/>
          <w:sz w:val="32"/>
          <w:szCs w:val="32"/>
          <w:lang w:eastAsia="zh-CN"/>
        </w:rPr>
        <w:t>七</w:t>
      </w:r>
      <w:r>
        <w:rPr>
          <w:rFonts w:hint="eastAsia" w:ascii="仿宋_GB2312" w:hAnsi="仿宋_GB2312" w:eastAsia="仿宋_GB2312" w:cs="仿宋_GB2312"/>
          <w:b/>
          <w:bCs/>
          <w:sz w:val="32"/>
          <w:szCs w:val="32"/>
        </w:rPr>
        <w:t xml:space="preserve">条 </w:t>
      </w:r>
      <w:r>
        <w:rPr>
          <w:rFonts w:hint="eastAsia" w:ascii="仿宋_GB2312" w:hAnsi="仿宋_GB2312" w:eastAsia="仿宋_GB2312" w:cs="仿宋_GB2312"/>
          <w:sz w:val="32"/>
          <w:szCs w:val="32"/>
        </w:rPr>
        <w:t xml:space="preserve"> 主营业务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为母婴用品、文具、玩具、五金建材、建筑装潢、美容美发、化妆品店、按摩推拿、药妆医械、中草药售卖、宠物店、文化体育用品、音像制品、家电家具、通信器材、移动业务服务、网吧、台球厅、游戏厅、洗浴中心、KTV、金融证券、仪器仪表、金银珠宝、修理修配、物流企业、洗涤护理、服装制售、鞋帽箱包、中介劳服、寄卖典当、古董店、汽车相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维修、销售、美容等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、传真打印、照相馆、成人用品店等专业性较强，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与烟草制品零售业务没有直接或间接互补营销关系的业态类型，与其他烟草零售点间距应达到</w:t>
      </w:r>
      <w:r>
        <w:rPr>
          <w:rFonts w:hint="eastAsia" w:ascii="仿宋_GB2312" w:hAnsi="仿宋_GB2312" w:eastAsia="仿宋_GB2312" w:cs="仿宋_GB2312"/>
          <w:sz w:val="32"/>
          <w:szCs w:val="32"/>
          <w:lang w:val="en-US" w:eastAsia="zh-CN"/>
        </w:rPr>
        <w:t>300</w:t>
      </w:r>
      <w:r>
        <w:rPr>
          <w:rFonts w:hint="eastAsia" w:ascii="仿宋_GB2312" w:hAnsi="仿宋_GB2312" w:eastAsia="仿宋_GB2312" w:cs="仿宋_GB2312"/>
          <w:sz w:val="32"/>
          <w:szCs w:val="32"/>
        </w:rPr>
        <w:t>米以上。</w:t>
      </w:r>
    </w:p>
    <w:p w14:paraId="2B8FAB5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center"/>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六</w:t>
      </w:r>
      <w:r>
        <w:rPr>
          <w:rFonts w:hint="eastAsia" w:ascii="仿宋_GB2312" w:hAnsi="仿宋_GB2312" w:eastAsia="仿宋_GB2312" w:cs="仿宋_GB2312"/>
          <w:b/>
          <w:bCs/>
          <w:sz w:val="32"/>
          <w:szCs w:val="32"/>
        </w:rPr>
        <w:t>章 附则</w:t>
      </w:r>
    </w:p>
    <w:p w14:paraId="58FBC56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十八</w:t>
      </w:r>
      <w:r>
        <w:rPr>
          <w:rFonts w:hint="eastAsia" w:ascii="仿宋_GB2312" w:hAnsi="仿宋_GB2312" w:eastAsia="仿宋_GB2312" w:cs="仿宋_GB2312"/>
          <w:b/>
          <w:bCs/>
          <w:sz w:val="32"/>
          <w:szCs w:val="32"/>
        </w:rPr>
        <w:t xml:space="preserve">条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非有效参照物</w:t>
      </w:r>
    </w:p>
    <w:p w14:paraId="049A5461">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按照本规定核算零售点间距、数量时，已持证零售点有下列情形之一的，不作为间距、数量管控的有效参照物：</w:t>
      </w:r>
    </w:p>
    <w:p w14:paraId="3D27E404">
      <w:pPr>
        <w:keepNext w:val="0"/>
        <w:keepLines w:val="0"/>
        <w:pageBreakBefore w:val="0"/>
        <w:widowControl w:val="0"/>
        <w:numPr>
          <w:ilvl w:val="0"/>
          <w:numId w:val="1"/>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烟草专卖零售许可证核定的登记事项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企业或字号名称、负责人或经营者姓名、企业类型或组成形式、经营场所地址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发生变化，或擅自改变经营方式，经发证机关书面通知后，拒不办理相关手续或拒不整改的；</w:t>
      </w:r>
    </w:p>
    <w:p w14:paraId="1BE506A3">
      <w:pPr>
        <w:keepNext w:val="0"/>
        <w:keepLines w:val="0"/>
        <w:pageBreakBefore w:val="0"/>
        <w:widowControl w:val="0"/>
        <w:numPr>
          <w:ilvl w:val="0"/>
          <w:numId w:val="1"/>
        </w:numPr>
        <w:tabs>
          <w:tab w:val="center" w:pos="4153"/>
          <w:tab w:val="left" w:pos="7820"/>
          <w:tab w:val="right" w:pos="8306"/>
        </w:tabs>
        <w:kinsoku/>
        <w:wordWrap/>
        <w:overflowPunct/>
        <w:topLinePunct w:val="0"/>
        <w:autoSpaceDE/>
        <w:autoSpaceDN/>
        <w:bidi w:val="0"/>
        <w:adjustRightInd/>
        <w:snapToGrid/>
        <w:spacing w:line="360" w:lineRule="auto"/>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因拆迁、搬迁等原因，原核定的经营地址、经营场所已实际不存在或无法继续经营的；</w:t>
      </w:r>
    </w:p>
    <w:p w14:paraId="46889E86">
      <w:pPr>
        <w:keepNext w:val="0"/>
        <w:keepLines w:val="0"/>
        <w:pageBreakBefore w:val="0"/>
        <w:widowControl w:val="0"/>
        <w:numPr>
          <w:ilvl w:val="0"/>
          <w:numId w:val="1"/>
        </w:numPr>
        <w:tabs>
          <w:tab w:val="center" w:pos="4153"/>
          <w:tab w:val="left" w:pos="7820"/>
          <w:tab w:val="right" w:pos="8306"/>
        </w:tabs>
        <w:kinsoku/>
        <w:wordWrap/>
        <w:overflowPunct/>
        <w:topLinePunct w:val="0"/>
        <w:autoSpaceDE/>
        <w:autoSpaceDN/>
        <w:bidi w:val="0"/>
        <w:adjustRightInd/>
        <w:snapToGrid/>
        <w:spacing w:line="360" w:lineRule="auto"/>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停止经营业务两个月以上，经发证机关两次书面通知后，仍未恢复营业且未办理停业手续的。</w:t>
      </w:r>
    </w:p>
    <w:p w14:paraId="11EA83A8">
      <w:pPr>
        <w:keepNext w:val="0"/>
        <w:keepLines w:val="0"/>
        <w:pageBreakBefore w:val="0"/>
        <w:widowControl w:val="0"/>
        <w:numPr>
          <w:ilvl w:val="0"/>
          <w:numId w:val="1"/>
        </w:numPr>
        <w:tabs>
          <w:tab w:val="center" w:pos="4153"/>
          <w:tab w:val="left" w:pos="7820"/>
          <w:tab w:val="right" w:pos="8306"/>
        </w:tabs>
        <w:kinsoku/>
        <w:wordWrap/>
        <w:overflowPunct/>
        <w:topLinePunct w:val="0"/>
        <w:autoSpaceDE/>
        <w:autoSpaceDN/>
        <w:bidi w:val="0"/>
        <w:adjustRightInd/>
        <w:snapToGrid/>
        <w:spacing w:line="360" w:lineRule="auto"/>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符合本规定第十二条和十二条办理烟草专卖零售许可证的客户。</w:t>
      </w:r>
    </w:p>
    <w:p w14:paraId="17A5A9D0">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十九</w:t>
      </w:r>
      <w:r>
        <w:rPr>
          <w:rFonts w:hint="eastAsia" w:ascii="仿宋_GB2312" w:hAnsi="仿宋_GB2312" w:eastAsia="仿宋_GB2312" w:cs="仿宋_GB2312"/>
          <w:b/>
          <w:bCs/>
          <w:sz w:val="32"/>
          <w:szCs w:val="32"/>
        </w:rPr>
        <w:t>条  术语定义</w:t>
      </w:r>
    </w:p>
    <w:p w14:paraId="3DD858D9">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本规定下列术语的定义：</w:t>
      </w:r>
    </w:p>
    <w:p w14:paraId="5779FAA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“经营场所”是指面向消费者全开放，用于烟草制品及其他商品销售、仓储的合法经营用房。</w:t>
      </w:r>
    </w:p>
    <w:p w14:paraId="228E96FC">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与住所相独立”是指经营场所与住所之间使用砖墙、玻璃或钢筋混凝土墙等物理设施实施完全隔离，经营区域与生活区域界限清晰，不包含住宅、公寓、生活住所的地下室、储藏室等不利于开展烟草制品零售的场所。</w:t>
      </w:r>
    </w:p>
    <w:p w14:paraId="7FC4BBF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固定经营场所”是指由砖、钢、混凝土、玻璃等材料建成墙体，形成可封闭、不可移动的物理空间，具备对外正常开展经营活动、安全储存烟草制品的基本设施和条件的场所，不包含违法建筑、流动摊点、车库停车场等。</w:t>
      </w:r>
    </w:p>
    <w:p w14:paraId="4C28A1B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“中小学校”是指普通中小学校、特殊教育学校、中等职业学校、专门学校。</w:t>
      </w:r>
    </w:p>
    <w:p w14:paraId="7903D21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“家庭成员”是指属于《中华人民共和国民法典》规定的配偶、父母、子女和其他共同生活的近亲属。</w:t>
      </w:r>
    </w:p>
    <w:p w14:paraId="5E99914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（六）</w:t>
      </w:r>
      <w:r>
        <w:rPr>
          <w:rFonts w:hint="eastAsia" w:ascii="仿宋_GB2312" w:hAnsi="仿宋_GB2312" w:eastAsia="仿宋_GB2312" w:cs="仿宋_GB2312"/>
          <w:sz w:val="32"/>
          <w:szCs w:val="32"/>
        </w:rPr>
        <w:t>“营业面积”是指面向不特定消费者全开放的经营场所实际使用面积，不包括仓库、办公、生活等配套功能区域。</w:t>
      </w:r>
    </w:p>
    <w:p w14:paraId="652D12E4">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二十</w:t>
      </w:r>
      <w:r>
        <w:rPr>
          <w:rFonts w:hint="eastAsia" w:ascii="仿宋_GB2312" w:hAnsi="仿宋_GB2312" w:eastAsia="仿宋_GB2312" w:cs="仿宋_GB2312"/>
          <w:b/>
          <w:bCs/>
          <w:sz w:val="32"/>
          <w:szCs w:val="32"/>
        </w:rPr>
        <w:t>条  间距测量规范</w:t>
      </w:r>
    </w:p>
    <w:p w14:paraId="5FF36CB4">
      <w:pPr>
        <w:ind w:firstLine="640" w:firstLineChars="200"/>
        <w:rPr>
          <w:rFonts w:hint="eastAsia" w:ascii="仿宋_GB2312" w:eastAsia="仿宋_GB2312" w:cs="仿宋_GB2312"/>
          <w:sz w:val="32"/>
          <w:szCs w:val="32"/>
          <w:lang w:bidi="ar"/>
        </w:rPr>
      </w:pPr>
      <w:r>
        <w:rPr>
          <w:rFonts w:hint="eastAsia" w:ascii="仿宋_GB2312" w:eastAsia="仿宋_GB2312" w:cs="仿宋_GB2312"/>
          <w:sz w:val="32"/>
          <w:szCs w:val="32"/>
          <w:lang w:bidi="ar"/>
        </w:rPr>
        <w:t>本规定所称“最短可通行间距”，是指申请经营场所出入口中心点，与最近已持证零售点出入口中心点，或</w:t>
      </w:r>
      <w:r>
        <w:rPr>
          <w:rFonts w:hint="eastAsia" w:ascii="仿宋_GB2312" w:eastAsia="仿宋_GB2312" w:cs="仿宋_GB2312"/>
          <w:sz w:val="32"/>
          <w:szCs w:val="32"/>
          <w:lang w:val="en-US" w:eastAsia="zh-CN" w:bidi="ar"/>
        </w:rPr>
        <w:t>中小学校、幼儿园作为参照点的，以主要进出通勤口距离申请点的最近一侧为测量点，</w:t>
      </w:r>
      <w:r>
        <w:rPr>
          <w:rFonts w:hint="eastAsia" w:ascii="仿宋_GB2312" w:eastAsia="仿宋_GB2312" w:cs="仿宋_GB2312"/>
          <w:sz w:val="32"/>
          <w:szCs w:val="32"/>
          <w:lang w:bidi="ar"/>
        </w:rPr>
        <w:t>按照交通规则允许的行人正常通行路径测算的最短距离。</w:t>
      </w:r>
    </w:p>
    <w:p w14:paraId="6A0D58EE">
      <w:pPr>
        <w:ind w:firstLine="640" w:firstLineChars="200"/>
        <w:rPr>
          <w:rFonts w:hint="eastAsia" w:ascii="仿宋_GB2312" w:eastAsia="仿宋_GB2312" w:cs="仿宋_GB2312"/>
          <w:sz w:val="32"/>
          <w:szCs w:val="32"/>
          <w:lang w:bidi="ar"/>
        </w:rPr>
      </w:pPr>
      <w:r>
        <w:rPr>
          <w:rFonts w:hint="eastAsia" w:ascii="仿宋_GB2312" w:eastAsia="仿宋_GB2312" w:cs="仿宋_GB2312"/>
          <w:sz w:val="32"/>
          <w:szCs w:val="32"/>
          <w:lang w:bidi="ar"/>
        </w:rPr>
        <w:t>前述场所设有多个出入口的，以两个参照点最近一侧出入口进行测量，不得穿越隔离护栏、围墙、花坛、绿地、建筑物等封闭或不可通行设施。</w:t>
      </w:r>
    </w:p>
    <w:p w14:paraId="3992E8EF">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eastAsia="zh-CN"/>
        </w:rPr>
        <w:t>二十一</w:t>
      </w:r>
      <w:r>
        <w:rPr>
          <w:rFonts w:hint="eastAsia" w:ascii="仿宋_GB2312" w:hAnsi="仿宋_GB2312" w:eastAsia="仿宋_GB2312" w:cs="仿宋_GB2312"/>
          <w:b/>
          <w:bCs/>
          <w:sz w:val="32"/>
          <w:szCs w:val="32"/>
        </w:rPr>
        <w:t>条  数量说明</w:t>
      </w:r>
    </w:p>
    <w:p w14:paraId="196A5072">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本规定所指“以上”“以内”“不超过”均含本数，“不满”不含本数。</w:t>
      </w:r>
    </w:p>
    <w:p w14:paraId="4C575EDB">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第二十</w:t>
      </w: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条  解释权</w:t>
      </w:r>
    </w:p>
    <w:p w14:paraId="731D6E43">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本规定由</w:t>
      </w:r>
      <w:r>
        <w:rPr>
          <w:rFonts w:hint="eastAsia" w:ascii="仿宋_GB2312" w:hAnsi="仿宋_GB2312" w:eastAsia="仿宋_GB2312" w:cs="仿宋_GB2312"/>
          <w:sz w:val="32"/>
          <w:szCs w:val="32"/>
          <w:lang w:eastAsia="zh-CN"/>
        </w:rPr>
        <w:t>乌恰县</w:t>
      </w:r>
      <w:r>
        <w:rPr>
          <w:rFonts w:hint="eastAsia" w:ascii="仿宋_GB2312" w:hAnsi="仿宋_GB2312" w:eastAsia="仿宋_GB2312" w:cs="仿宋_GB2312"/>
          <w:sz w:val="32"/>
          <w:szCs w:val="32"/>
        </w:rPr>
        <w:t>烟草专卖局负责解释。本规定实施过程中，如遇法律法规、规章及政策另有规定的，从其规定。</w:t>
      </w:r>
    </w:p>
    <w:p w14:paraId="2A08DA27">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第二十</w:t>
      </w: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条  施行日期</w:t>
      </w:r>
    </w:p>
    <w:p w14:paraId="345834FD">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本规定自202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bookmarkStart w:id="0" w:name="_GoBack"/>
      <w:bookmarkEnd w:id="0"/>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w:t>
      </w:r>
      <w:r>
        <w:rPr>
          <w:rFonts w:hint="eastAsia" w:ascii="仿宋_GB2312" w:hAnsi="仿宋_GB2312" w:eastAsia="仿宋_GB2312" w:cs="仿宋_GB2312"/>
          <w:color w:val="000000" w:themeColor="text1"/>
          <w:sz w:val="32"/>
          <w:szCs w:val="32"/>
          <w14:textFill>
            <w14:solidFill>
              <w14:schemeClr w14:val="tx1"/>
            </w14:solidFill>
          </w14:textFill>
        </w:rPr>
        <w:t>日起施行。202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28</w:t>
      </w:r>
      <w:r>
        <w:rPr>
          <w:rFonts w:hint="eastAsia" w:ascii="仿宋_GB2312" w:hAnsi="仿宋_GB2312" w:eastAsia="仿宋_GB2312" w:cs="仿宋_GB2312"/>
          <w:color w:val="000000" w:themeColor="text1"/>
          <w:sz w:val="32"/>
          <w:szCs w:val="32"/>
          <w14:textFill>
            <w14:solidFill>
              <w14:schemeClr w14:val="tx1"/>
            </w14:solidFill>
          </w14:textFill>
        </w:rPr>
        <w:t>日施行的</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《克孜勒苏柯尔克孜自治州乌恰县烟草专卖局烟草制品零售点合理布局规划》</w:t>
      </w:r>
      <w:r>
        <w:rPr>
          <w:rFonts w:hint="eastAsia" w:ascii="仿宋_GB2312" w:hAnsi="仿宋_GB2312" w:eastAsia="仿宋_GB2312" w:cs="仿宋_GB2312"/>
          <w:color w:val="000000" w:themeColor="text1"/>
          <w:sz w:val="32"/>
          <w:szCs w:val="32"/>
          <w14:textFill>
            <w14:solidFill>
              <w14:schemeClr w14:val="tx1"/>
            </w14:solidFill>
          </w14:textFill>
        </w:rPr>
        <w:t>同时废止。</w:t>
      </w:r>
    </w:p>
    <w:p w14:paraId="0E51E4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40" w:lineRule="auto"/>
        <w:ind w:left="0" w:right="0" w:firstLine="0"/>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附：1.</w:t>
      </w:r>
      <w:r>
        <w:rPr>
          <w:rFonts w:hint="default" w:ascii="仿宋_GB2312" w:hAnsi="仿宋_GB2312" w:eastAsia="仿宋_GB2312" w:cs="仿宋_GB2312"/>
          <w:color w:val="000000" w:themeColor="text1"/>
          <w:kern w:val="2"/>
          <w:sz w:val="32"/>
          <w:szCs w:val="32"/>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乌恰县</w:t>
      </w:r>
      <w:r>
        <w:rPr>
          <w:rFonts w:hint="default" w:ascii="仿宋_GB2312" w:hAnsi="仿宋_GB2312" w:eastAsia="仿宋_GB2312" w:cs="仿宋_GB2312"/>
          <w:color w:val="000000" w:themeColor="text1"/>
          <w:kern w:val="2"/>
          <w:sz w:val="32"/>
          <w:szCs w:val="32"/>
          <w:lang w:val="en-US" w:eastAsia="zh-CN" w:bidi="ar-SA"/>
          <w14:textFill>
            <w14:solidFill>
              <w14:schemeClr w14:val="tx1"/>
            </w14:solidFill>
          </w14:textFill>
        </w:rPr>
        <w:t>烟草制品零售点轮候管理办法》</w:t>
      </w:r>
    </w:p>
    <w:p w14:paraId="4EEB41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40" w:lineRule="auto"/>
        <w:ind w:right="0" w:firstLine="640" w:firstLineChars="200"/>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2.《乌恰县烟草制品零售点现场勘验规则》</w:t>
      </w:r>
    </w:p>
    <w:p w14:paraId="55ECCF31">
      <w:pPr>
        <w:keepNext w:val="0"/>
        <w:keepLines w:val="0"/>
        <w:pageBreakBefore w:val="0"/>
        <w:widowControl w:val="0"/>
        <w:numPr>
          <w:ilvl w:val="0"/>
          <w:numId w:val="0"/>
        </w:numPr>
        <w:kinsoku/>
        <w:wordWrap/>
        <w:overflowPunct/>
        <w:topLinePunct w:val="0"/>
        <w:autoSpaceDE/>
        <w:autoSpaceDN/>
        <w:bidi w:val="0"/>
        <w:adjustRightInd w:val="0"/>
        <w:snapToGrid w:val="0"/>
        <w:spacing w:after="50" w:afterLines="50" w:line="240" w:lineRule="auto"/>
        <w:ind w:left="0" w:leftChars="0" w:firstLine="1280" w:firstLineChars="400"/>
        <w:jc w:val="left"/>
        <w:textAlignment w:val="auto"/>
        <w:rPr>
          <w:rFonts w:hint="default"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pPr>
    </w:p>
    <w:p w14:paraId="020C34DA">
      <w:pPr>
        <w:keepNext w:val="0"/>
        <w:keepLines w:val="0"/>
        <w:pageBreakBefore w:val="0"/>
        <w:widowControl w:val="0"/>
        <w:numPr>
          <w:ilvl w:val="0"/>
          <w:numId w:val="0"/>
        </w:numPr>
        <w:kinsoku/>
        <w:wordWrap/>
        <w:overflowPunct/>
        <w:topLinePunct w:val="0"/>
        <w:autoSpaceDE/>
        <w:autoSpaceDN/>
        <w:bidi w:val="0"/>
        <w:adjustRightInd w:val="0"/>
        <w:snapToGrid w:val="0"/>
        <w:spacing w:after="50" w:afterLines="50" w:line="240" w:lineRule="auto"/>
        <w:ind w:left="0" w:leftChars="0" w:firstLine="1280" w:firstLineChars="400"/>
        <w:jc w:val="left"/>
        <w:textAlignment w:val="auto"/>
        <w:rPr>
          <w:rFonts w:hint="default" w:ascii="仿宋_GB2312" w:hAnsi="仿宋_GB2312" w:eastAsia="仿宋_GB2312" w:cs="仿宋_GB2312"/>
          <w:color w:val="262626" w:themeColor="text1" w:themeTint="D9"/>
          <w:kern w:val="2"/>
          <w:sz w:val="32"/>
          <w:szCs w:val="32"/>
          <w:lang w:val="en-US" w:eastAsia="zh-CN" w:bidi="ar-SA"/>
          <w14:textFill>
            <w14:solidFill>
              <w14:schemeClr w14:val="tx1">
                <w14:lumMod w14:val="85000"/>
                <w14:lumOff w14:val="15000"/>
              </w14:schemeClr>
            </w14:solidFill>
          </w14:textFill>
        </w:rPr>
      </w:pPr>
    </w:p>
    <w:p w14:paraId="22C56FB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164258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1C2ED4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641D75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4E6C77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5B0C23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3B3970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Calibri" w:eastAsia="方正小标宋简体" w:cs="Times New Roman"/>
          <w:sz w:val="44"/>
          <w:szCs w:val="44"/>
          <w:lang w:val="en-US" w:eastAsia="zh-CN"/>
        </w:rPr>
      </w:pPr>
    </w:p>
    <w:p w14:paraId="09C9A5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39153EC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4B9216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23B4E4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6712D8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1B184A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49DEB5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p>
    <w:p w14:paraId="1E7DF7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Calibri" w:eastAsia="方正小标宋简体" w:cs="Times New Roman"/>
          <w:sz w:val="44"/>
          <w:szCs w:val="44"/>
          <w:lang w:val="en-US" w:eastAsia="zh-CN"/>
        </w:rPr>
      </w:pPr>
    </w:p>
    <w:p w14:paraId="5F430D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r>
        <w:rPr>
          <w:rFonts w:hint="eastAsia" w:ascii="方正小标宋简体" w:hAnsi="Calibri" w:eastAsia="方正小标宋简体" w:cs="Times New Roman"/>
          <w:sz w:val="44"/>
          <w:szCs w:val="44"/>
          <w:lang w:val="en-US" w:eastAsia="zh-CN"/>
        </w:rPr>
        <w:t>克孜勒苏柯尔克孜自治州乌恰县烟草</w:t>
      </w:r>
    </w:p>
    <w:p w14:paraId="54B27F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Calibri" w:eastAsia="方正小标宋简体" w:cs="Times New Roman"/>
          <w:sz w:val="44"/>
          <w:szCs w:val="44"/>
          <w:lang w:val="en-US" w:eastAsia="zh-CN"/>
        </w:rPr>
      </w:pPr>
      <w:r>
        <w:rPr>
          <w:rFonts w:hint="eastAsia" w:ascii="方正小标宋简体" w:hAnsi="Calibri" w:eastAsia="方正小标宋简体" w:cs="Times New Roman"/>
          <w:sz w:val="44"/>
          <w:szCs w:val="44"/>
          <w:lang w:val="en-US" w:eastAsia="zh-CN"/>
        </w:rPr>
        <w:t>制品零售点现场勘验规则</w:t>
      </w:r>
    </w:p>
    <w:p w14:paraId="2C8F1765">
      <w:pPr>
        <w:jc w:val="center"/>
        <w:rPr>
          <w:rFonts w:hint="default" w:ascii="方正小标宋简体" w:eastAsia="方正小标宋简体"/>
          <w:sz w:val="40"/>
          <w:szCs w:val="40"/>
          <w:lang w:val="en-US" w:eastAsia="zh-CN"/>
        </w:rPr>
      </w:pPr>
    </w:p>
    <w:p w14:paraId="2E8A29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center"/>
        <w:textAlignment w:val="baseline"/>
        <w:rPr>
          <w:rFonts w:hint="eastAsia" w:ascii="仿宋_GB2312" w:hAnsi="仿宋_GB2312" w:eastAsia="仿宋_GB2312" w:cs="仿宋_GB2312"/>
          <w:b w:val="0"/>
          <w:bCs w:val="0"/>
          <w:color w:val="auto"/>
          <w:kern w:val="2"/>
          <w:sz w:val="32"/>
          <w:szCs w:val="32"/>
          <w:lang w:val="en-US" w:eastAsia="zh-CN" w:bidi="ar-SA"/>
        </w:rPr>
      </w:pPr>
    </w:p>
    <w:p w14:paraId="7F52E67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u w:val="none"/>
          <w:lang w:val="en-US" w:eastAsia="zh-CN"/>
        </w:rPr>
      </w:pPr>
      <w:r>
        <w:rPr>
          <w:rFonts w:hint="eastAsia" w:ascii="黑体" w:hAnsi="黑体" w:eastAsia="黑体" w:cs="黑体"/>
          <w:b w:val="0"/>
          <w:bCs w:val="0"/>
          <w:color w:val="auto"/>
          <w:sz w:val="32"/>
          <w:szCs w:val="32"/>
          <w:u w:val="none"/>
          <w:lang w:val="en-US" w:eastAsia="zh-CN"/>
        </w:rPr>
        <w:t>第一章  总 则</w:t>
      </w:r>
    </w:p>
    <w:p w14:paraId="6E1D5D2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第一条</w:t>
      </w:r>
      <w:r>
        <w:rPr>
          <w:rFonts w:hint="eastAsia" w:ascii="仿宋_GB2312" w:hAnsi="仿宋_GB2312" w:eastAsia="仿宋_GB2312" w:cs="仿宋_GB2312"/>
          <w:b w:val="0"/>
          <w:bCs w:val="0"/>
          <w:color w:val="auto"/>
          <w:kern w:val="2"/>
          <w:sz w:val="32"/>
          <w:szCs w:val="32"/>
          <w:lang w:val="en-US" w:eastAsia="zh-CN" w:bidi="ar-SA"/>
        </w:rPr>
        <w:t> 为统一测量标准，规范勘验实施过程，确保烟草专卖零售许可证现场勘验公开、公平、公正，特制定本规则。</w:t>
      </w:r>
    </w:p>
    <w:p w14:paraId="359075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第二条</w:t>
      </w:r>
      <w:r>
        <w:rPr>
          <w:rFonts w:hint="eastAsia" w:ascii="仿宋_GB2312" w:hAnsi="仿宋_GB2312" w:eastAsia="仿宋_GB2312" w:cs="仿宋_GB2312"/>
          <w:b w:val="0"/>
          <w:bCs w:val="0"/>
          <w:color w:val="auto"/>
          <w:kern w:val="2"/>
          <w:sz w:val="32"/>
          <w:szCs w:val="32"/>
          <w:lang w:val="en-US" w:eastAsia="zh-CN" w:bidi="ar-SA"/>
        </w:rPr>
        <w:t> 本规则适用于乌恰县烟草制品零售点间隔距离（以下简称间距）测量及经营场所内部勘验。</w:t>
      </w:r>
    </w:p>
    <w:p w14:paraId="32B00C8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第三条</w:t>
      </w:r>
      <w:r>
        <w:rPr>
          <w:rFonts w:hint="eastAsia" w:ascii="仿宋_GB2312" w:hAnsi="仿宋_GB2312" w:eastAsia="仿宋_GB2312" w:cs="仿宋_GB2312"/>
          <w:b w:val="0"/>
          <w:bCs w:val="0"/>
          <w:color w:val="auto"/>
          <w:kern w:val="2"/>
          <w:sz w:val="32"/>
          <w:szCs w:val="32"/>
          <w:lang w:val="en-US" w:eastAsia="zh-CN" w:bidi="ar-SA"/>
        </w:rPr>
        <w:t> 间距测量是指烟草专卖管理人员对申请点与参照点之间的无障碍最短距离进行测量。如需穿越车道，车道测量线路以最短测量距离为准。</w:t>
      </w:r>
    </w:p>
    <w:p w14:paraId="555CD4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第四条</w:t>
      </w:r>
      <w:r>
        <w:rPr>
          <w:rFonts w:hint="eastAsia" w:ascii="仿宋_GB2312" w:hAnsi="仿宋_GB2312" w:eastAsia="仿宋_GB2312" w:cs="仿宋_GB2312"/>
          <w:b w:val="0"/>
          <w:bCs w:val="0"/>
          <w:color w:val="auto"/>
          <w:kern w:val="2"/>
          <w:sz w:val="32"/>
          <w:szCs w:val="32"/>
          <w:lang w:val="en-US" w:eastAsia="zh-CN" w:bidi="ar-SA"/>
        </w:rPr>
        <w:t xml:space="preserve"> 由两名或者两名以上具有执法资格的专卖人员进行测量，测量结果应现场由申请人确认。</w:t>
      </w:r>
    </w:p>
    <w:p w14:paraId="1F6865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p>
    <w:p w14:paraId="3CFA3E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center"/>
        <w:textAlignment w:val="baseline"/>
        <w:rPr>
          <w:rFonts w:hint="eastAsia" w:ascii="黑体" w:hAnsi="黑体" w:eastAsia="黑体" w:cs="黑体"/>
          <w:b w:val="0"/>
          <w:bCs w:val="0"/>
          <w:color w:val="auto"/>
          <w:kern w:val="2"/>
          <w:sz w:val="32"/>
          <w:szCs w:val="32"/>
          <w:u w:val="none"/>
          <w:lang w:val="en-US" w:eastAsia="zh-CN" w:bidi="ar-SA"/>
        </w:rPr>
      </w:pPr>
      <w:r>
        <w:rPr>
          <w:rFonts w:hint="eastAsia" w:ascii="黑体" w:hAnsi="黑体" w:eastAsia="黑体" w:cs="黑体"/>
          <w:b w:val="0"/>
          <w:bCs w:val="0"/>
          <w:color w:val="auto"/>
          <w:kern w:val="2"/>
          <w:sz w:val="32"/>
          <w:szCs w:val="32"/>
          <w:u w:val="none"/>
          <w:lang w:val="en-US" w:eastAsia="zh-CN" w:bidi="ar-SA"/>
        </w:rPr>
        <w:t>第二章  勘验标准</w:t>
      </w:r>
    </w:p>
    <w:p w14:paraId="31F2E5A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第五条</w:t>
      </w:r>
      <w:r>
        <w:rPr>
          <w:rFonts w:hint="eastAsia" w:ascii="仿宋_GB2312" w:hAnsi="仿宋_GB2312" w:eastAsia="仿宋_GB2312" w:cs="仿宋_GB2312"/>
          <w:b w:val="0"/>
          <w:bCs w:val="0"/>
          <w:color w:val="auto"/>
          <w:kern w:val="2"/>
          <w:sz w:val="32"/>
          <w:szCs w:val="32"/>
          <w:lang w:val="en-US" w:eastAsia="zh-CN" w:bidi="ar-SA"/>
        </w:rPr>
        <w:t> 测量点为申请点与参照点店门中心点，申请点或参照点有多扇门的，以两者最近店门中心点为测量点；中小学校、幼儿园作为参照点的，以进出通勤口距离申请点的最近一侧为测量点；商场、超市、市场内以柜台、摊位区域为经营场所的申请点，以其柜台、摊位出入口中心点为测量点，如遇无出入口情形，以最近柜台、摊位一侧中心点为测量点。如下图（红色标注点为测量点，下同）：</w:t>
      </w:r>
    </w:p>
    <w:p w14:paraId="7318507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3AE8E0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示例一</w:t>
      </w:r>
    </w:p>
    <w:p w14:paraId="676431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1781175" cy="1095375"/>
            <wp:effectExtent l="0" t="0" r="9525" b="9525"/>
            <wp:docPr id="1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IMG_256"/>
                    <pic:cNvPicPr>
                      <a:picLocks noChangeAspect="1"/>
                    </pic:cNvPicPr>
                  </pic:nvPicPr>
                  <pic:blipFill>
                    <a:blip r:embed="rId4"/>
                    <a:stretch>
                      <a:fillRect/>
                    </a:stretch>
                  </pic:blipFill>
                  <pic:spPr>
                    <a:xfrm>
                      <a:off x="0" y="0"/>
                      <a:ext cx="1781175" cy="1095375"/>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1800225" cy="1104900"/>
            <wp:effectExtent l="0" t="0" r="9525"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5"/>
                    <a:stretch>
                      <a:fillRect/>
                    </a:stretch>
                  </pic:blipFill>
                  <pic:spPr>
                    <a:xfrm>
                      <a:off x="0" y="0"/>
                      <a:ext cx="1800225" cy="1104900"/>
                    </a:xfrm>
                    <a:prstGeom prst="rect">
                      <a:avLst/>
                    </a:prstGeom>
                    <a:noFill/>
                    <a:ln w="9525">
                      <a:noFill/>
                    </a:ln>
                  </pic:spPr>
                </pic:pic>
              </a:graphicData>
            </a:graphic>
          </wp:inline>
        </w:drawing>
      </w:r>
    </w:p>
    <w:p w14:paraId="1A33A5F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05350" cy="2105025"/>
            <wp:effectExtent l="0" t="0" r="0" b="9525"/>
            <wp:docPr id="1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8"/>
                    <pic:cNvPicPr>
                      <a:picLocks noChangeAspect="1"/>
                    </pic:cNvPicPr>
                  </pic:nvPicPr>
                  <pic:blipFill>
                    <a:blip r:embed="rId6"/>
                    <a:stretch>
                      <a:fillRect/>
                    </a:stretch>
                  </pic:blipFill>
                  <pic:spPr>
                    <a:xfrm>
                      <a:off x="0" y="0"/>
                      <a:ext cx="4705350" cy="2105025"/>
                    </a:xfrm>
                    <a:prstGeom prst="rect">
                      <a:avLst/>
                    </a:prstGeom>
                    <a:noFill/>
                    <a:ln w="9525">
                      <a:noFill/>
                    </a:ln>
                  </pic:spPr>
                </pic:pic>
              </a:graphicData>
            </a:graphic>
          </wp:inline>
        </w:drawing>
      </w:r>
    </w:p>
    <w:p w14:paraId="38A62D6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第六条</w:t>
      </w:r>
      <w:r>
        <w:rPr>
          <w:rFonts w:hint="eastAsia" w:ascii="仿宋_GB2312" w:hAnsi="仿宋_GB2312" w:eastAsia="仿宋_GB2312" w:cs="仿宋_GB2312"/>
          <w:b w:val="0"/>
          <w:bCs w:val="0"/>
          <w:color w:val="auto"/>
          <w:kern w:val="2"/>
          <w:sz w:val="32"/>
          <w:szCs w:val="32"/>
          <w:lang w:val="en-US" w:eastAsia="zh-CN" w:bidi="ar-SA"/>
        </w:rPr>
        <w:t> 间距测量标准</w:t>
      </w:r>
    </w:p>
    <w:p w14:paraId="77791C7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（一）非道路区域</w:t>
      </w:r>
    </w:p>
    <w:p w14:paraId="27B58A8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申请点与参照点位于非道路地面区域（包括步行街、市场内等情形）的间距测量，按申请点与参照点之间的无障碍最短距离进行测量，如下图：</w:t>
      </w:r>
    </w:p>
    <w:p w14:paraId="3C44BC1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3C7338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4AA88EB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1D73C66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48CEA3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3AA101B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示例二</w:t>
      </w:r>
    </w:p>
    <w:p w14:paraId="2ACF70F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1524000"/>
            <wp:effectExtent l="0" t="0" r="0" b="0"/>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9"/>
                    <pic:cNvPicPr>
                      <a:picLocks noChangeAspect="1"/>
                    </pic:cNvPicPr>
                  </pic:nvPicPr>
                  <pic:blipFill>
                    <a:blip r:embed="rId7"/>
                    <a:stretch>
                      <a:fillRect/>
                    </a:stretch>
                  </pic:blipFill>
                  <pic:spPr>
                    <a:xfrm>
                      <a:off x="0" y="0"/>
                      <a:ext cx="4762500" cy="1524000"/>
                    </a:xfrm>
                    <a:prstGeom prst="rect">
                      <a:avLst/>
                    </a:prstGeom>
                    <a:noFill/>
                    <a:ln w="9525">
                      <a:noFill/>
                    </a:ln>
                  </pic:spPr>
                </pic:pic>
              </a:graphicData>
            </a:graphic>
          </wp:inline>
        </w:drawing>
      </w:r>
    </w:p>
    <w:p w14:paraId="1472C76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p>
    <w:p w14:paraId="37956D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（二）道路区域</w:t>
      </w:r>
    </w:p>
    <w:p w14:paraId="72BD08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1.申请点与参照点位于平直道路同侧，按申请点与参照点之间的无障碍最短距离进行测量，如下图：</w:t>
      </w:r>
    </w:p>
    <w:p w14:paraId="41F8F09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26DEFDF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示例三</w:t>
      </w:r>
    </w:p>
    <w:p w14:paraId="708883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2085975"/>
            <wp:effectExtent l="0" t="0" r="0" b="9525"/>
            <wp:docPr id="1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IMG_260"/>
                    <pic:cNvPicPr>
                      <a:picLocks noChangeAspect="1"/>
                    </pic:cNvPicPr>
                  </pic:nvPicPr>
                  <pic:blipFill>
                    <a:blip r:embed="rId8"/>
                    <a:stretch>
                      <a:fillRect/>
                    </a:stretch>
                  </pic:blipFill>
                  <pic:spPr>
                    <a:xfrm>
                      <a:off x="0" y="0"/>
                      <a:ext cx="4762500" cy="2085975"/>
                    </a:xfrm>
                    <a:prstGeom prst="rect">
                      <a:avLst/>
                    </a:prstGeom>
                    <a:noFill/>
                    <a:ln w="9525">
                      <a:noFill/>
                    </a:ln>
                  </pic:spPr>
                </pic:pic>
              </a:graphicData>
            </a:graphic>
          </wp:inline>
        </w:drawing>
      </w:r>
    </w:p>
    <w:p w14:paraId="4DA6E1F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2.申请点和参照点位于交叉路口同侧，按申请点与参照点之间的无障碍最短距离进行测量，如下图：</w:t>
      </w:r>
    </w:p>
    <w:p w14:paraId="1DB377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3E0AA5F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01CE77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42143B6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0BDE1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示例四</w:t>
      </w:r>
    </w:p>
    <w:p w14:paraId="5D7AD6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3829050"/>
            <wp:effectExtent l="0" t="0" r="0" b="0"/>
            <wp:docPr id="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IMG_261"/>
                    <pic:cNvPicPr>
                      <a:picLocks noChangeAspect="1"/>
                    </pic:cNvPicPr>
                  </pic:nvPicPr>
                  <pic:blipFill>
                    <a:blip r:embed="rId9"/>
                    <a:stretch>
                      <a:fillRect/>
                    </a:stretch>
                  </pic:blipFill>
                  <pic:spPr>
                    <a:xfrm>
                      <a:off x="0" y="0"/>
                      <a:ext cx="4762500" cy="3829050"/>
                    </a:xfrm>
                    <a:prstGeom prst="rect">
                      <a:avLst/>
                    </a:prstGeom>
                    <a:noFill/>
                    <a:ln w="9525">
                      <a:noFill/>
                    </a:ln>
                  </pic:spPr>
                </pic:pic>
              </a:graphicData>
            </a:graphic>
          </wp:inline>
        </w:drawing>
      </w:r>
    </w:p>
    <w:p w14:paraId="6210F9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示例五</w:t>
      </w:r>
    </w:p>
    <w:p w14:paraId="04E95C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3838575"/>
            <wp:effectExtent l="0" t="0" r="0" b="9525"/>
            <wp:docPr id="1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IMG_262"/>
                    <pic:cNvPicPr>
                      <a:picLocks noChangeAspect="1"/>
                    </pic:cNvPicPr>
                  </pic:nvPicPr>
                  <pic:blipFill>
                    <a:blip r:embed="rId10"/>
                    <a:stretch>
                      <a:fillRect/>
                    </a:stretch>
                  </pic:blipFill>
                  <pic:spPr>
                    <a:xfrm>
                      <a:off x="0" y="0"/>
                      <a:ext cx="4762500" cy="3838575"/>
                    </a:xfrm>
                    <a:prstGeom prst="rect">
                      <a:avLst/>
                    </a:prstGeom>
                    <a:noFill/>
                    <a:ln w="9525">
                      <a:noFill/>
                    </a:ln>
                  </pic:spPr>
                </pic:pic>
              </a:graphicData>
            </a:graphic>
          </wp:inline>
        </w:drawing>
      </w:r>
    </w:p>
    <w:p w14:paraId="30E4EF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3.申请点与参照点位于曲线道路同侧，按申请点与参照点之间的无障碍最短距离进行测量，如下图：</w:t>
      </w:r>
    </w:p>
    <w:p w14:paraId="768DDC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示例六</w:t>
      </w:r>
    </w:p>
    <w:p w14:paraId="007F17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1733550"/>
            <wp:effectExtent l="0" t="0" r="0" b="0"/>
            <wp:docPr id="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63"/>
                    <pic:cNvPicPr>
                      <a:picLocks noChangeAspect="1"/>
                    </pic:cNvPicPr>
                  </pic:nvPicPr>
                  <pic:blipFill>
                    <a:blip r:embed="rId11"/>
                    <a:stretch>
                      <a:fillRect/>
                    </a:stretch>
                  </pic:blipFill>
                  <pic:spPr>
                    <a:xfrm>
                      <a:off x="0" y="0"/>
                      <a:ext cx="4762500" cy="1733550"/>
                    </a:xfrm>
                    <a:prstGeom prst="rect">
                      <a:avLst/>
                    </a:prstGeom>
                    <a:noFill/>
                    <a:ln w="9525">
                      <a:noFill/>
                    </a:ln>
                  </pic:spPr>
                </pic:pic>
              </a:graphicData>
            </a:graphic>
          </wp:inline>
        </w:drawing>
      </w:r>
    </w:p>
    <w:p w14:paraId="3F18744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4FA95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0D1AFC0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39CA53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示例七</w:t>
      </w:r>
    </w:p>
    <w:p w14:paraId="72211A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1762125"/>
            <wp:effectExtent l="0" t="0" r="0" b="9525"/>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icPr>
                  <pic:blipFill>
                    <a:blip r:embed="rId12"/>
                    <a:stretch>
                      <a:fillRect/>
                    </a:stretch>
                  </pic:blipFill>
                  <pic:spPr>
                    <a:xfrm>
                      <a:off x="0" y="0"/>
                      <a:ext cx="4762500" cy="1762125"/>
                    </a:xfrm>
                    <a:prstGeom prst="rect">
                      <a:avLst/>
                    </a:prstGeom>
                    <a:noFill/>
                    <a:ln w="9525">
                      <a:noFill/>
                    </a:ln>
                  </pic:spPr>
                </pic:pic>
              </a:graphicData>
            </a:graphic>
          </wp:inline>
        </w:drawing>
      </w:r>
    </w:p>
    <w:p w14:paraId="6C8D7E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4.申请点与参照点位于道路两侧且两者之间为人车混合道路，确认申请点与参照点之间的无障碍最短测量线路后，车道区域按最短距离测量至另一侧，其他区域按两点之间无障碍最短距离测量，如下图：</w:t>
      </w:r>
    </w:p>
    <w:p w14:paraId="3C30172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p>
    <w:p w14:paraId="66BB854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2905125"/>
            <wp:effectExtent l="0" t="0" r="0" b="9525"/>
            <wp:docPr id="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IMG_265"/>
                    <pic:cNvPicPr>
                      <a:picLocks noChangeAspect="1"/>
                    </pic:cNvPicPr>
                  </pic:nvPicPr>
                  <pic:blipFill>
                    <a:blip r:embed="rId13"/>
                    <a:stretch>
                      <a:fillRect/>
                    </a:stretch>
                  </pic:blipFill>
                  <pic:spPr>
                    <a:xfrm>
                      <a:off x="0" y="0"/>
                      <a:ext cx="4762500" cy="2905125"/>
                    </a:xfrm>
                    <a:prstGeom prst="rect">
                      <a:avLst/>
                    </a:prstGeom>
                    <a:noFill/>
                    <a:ln w="9525">
                      <a:noFill/>
                    </a:ln>
                  </pic:spPr>
                </pic:pic>
              </a:graphicData>
            </a:graphic>
          </wp:inline>
        </w:drawing>
      </w:r>
    </w:p>
    <w:p w14:paraId="55735A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81997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181CB10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2120F21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both"/>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668C93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示例九</w:t>
      </w:r>
    </w:p>
    <w:p w14:paraId="22AA62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sz w:val="28"/>
        </w:rPr>
        <mc:AlternateContent>
          <mc:Choice Requires="wps">
            <w:drawing>
              <wp:anchor distT="0" distB="0" distL="114300" distR="114300" simplePos="0" relativeHeight="251670528" behindDoc="0" locked="0" layoutInCell="1" allowOverlap="1">
                <wp:simplePos x="0" y="0"/>
                <wp:positionH relativeFrom="column">
                  <wp:posOffset>3749040</wp:posOffset>
                </wp:positionH>
                <wp:positionV relativeFrom="paragraph">
                  <wp:posOffset>2071370</wp:posOffset>
                </wp:positionV>
                <wp:extent cx="10160" cy="190500"/>
                <wp:effectExtent l="13970" t="635" r="33020" b="18415"/>
                <wp:wrapNone/>
                <wp:docPr id="40" name="直接连接符 40"/>
                <wp:cNvGraphicFramePr/>
                <a:graphic xmlns:a="http://schemas.openxmlformats.org/drawingml/2006/main">
                  <a:graphicData uri="http://schemas.microsoft.com/office/word/2010/wordprocessingShape">
                    <wps:wsp>
                      <wps:cNvCnPr/>
                      <wps:spPr>
                        <a:xfrm>
                          <a:off x="0" y="0"/>
                          <a:ext cx="10160" cy="190500"/>
                        </a:xfrm>
                        <a:prstGeom prst="line">
                          <a:avLst/>
                        </a:prstGeom>
                        <a:ln w="28575">
                          <a:solidFill>
                            <a:srgbClr val="C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95.2pt;margin-top:163.1pt;height:15pt;width:0.8pt;z-index:251670528;mso-width-relative:page;mso-height-relative:page;" filled="f" stroked="t" coordsize="21600,21600" o:gfxdata="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uio7edQAAAALAQAADwAAAAAA&#10;AAABACAAAAAiAAAAZHJzL2Rvd25yZXYueG1sUEsBAhQAFAAAAAgAh07iQJ9tiSPeAQAAoAMAAA4A&#10;AAAAAAAAAQAgAAAAIwEAAGRycy9lMm9Eb2MueG1sUEsFBgAAAAAGAAYAWQEAAHMFAAAAAA==&#10;">
                <v:fill on="f" focussize="0,0"/>
                <v:stroke weight="2.25pt" color="#C00000 [3204]" joinstyle="round"/>
                <v:imagedata o:title=""/>
                <o:lock v:ext="edit" aspectratio="f"/>
              </v:line>
            </w:pict>
          </mc:Fallback>
        </mc:AlternateContent>
      </w: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2905125"/>
            <wp:effectExtent l="0" t="0" r="0" b="9525"/>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icPr>
                  <pic:blipFill>
                    <a:blip r:embed="rId14"/>
                    <a:stretch>
                      <a:fillRect/>
                    </a:stretch>
                  </pic:blipFill>
                  <pic:spPr>
                    <a:xfrm>
                      <a:off x="0" y="0"/>
                      <a:ext cx="4762500" cy="2905125"/>
                    </a:xfrm>
                    <a:prstGeom prst="rect">
                      <a:avLst/>
                    </a:prstGeom>
                    <a:noFill/>
                    <a:ln w="9525">
                      <a:noFill/>
                    </a:ln>
                  </pic:spPr>
                </pic:pic>
              </a:graphicData>
            </a:graphic>
          </wp:inline>
        </w:drawing>
      </w:r>
      <w:r>
        <w:rPr>
          <w:sz w:val="28"/>
        </w:rPr>
        <mc:AlternateContent>
          <mc:Choice Requires="wps">
            <w:drawing>
              <wp:anchor distT="0" distB="0" distL="114300" distR="114300" simplePos="0" relativeHeight="251669504" behindDoc="0" locked="0" layoutInCell="1" allowOverlap="1">
                <wp:simplePos x="0" y="0"/>
                <wp:positionH relativeFrom="column">
                  <wp:posOffset>1717040</wp:posOffset>
                </wp:positionH>
                <wp:positionV relativeFrom="paragraph">
                  <wp:posOffset>694690</wp:posOffset>
                </wp:positionV>
                <wp:extent cx="10160" cy="190500"/>
                <wp:effectExtent l="13970" t="635" r="33020" b="18415"/>
                <wp:wrapNone/>
                <wp:docPr id="39" name="直接连接符 39"/>
                <wp:cNvGraphicFramePr/>
                <a:graphic xmlns:a="http://schemas.openxmlformats.org/drawingml/2006/main">
                  <a:graphicData uri="http://schemas.microsoft.com/office/word/2010/wordprocessingShape">
                    <wps:wsp>
                      <wps:cNvCnPr/>
                      <wps:spPr>
                        <a:xfrm>
                          <a:off x="0" y="0"/>
                          <a:ext cx="10160" cy="190500"/>
                        </a:xfrm>
                        <a:prstGeom prst="line">
                          <a:avLst/>
                        </a:prstGeom>
                        <a:ln w="28575">
                          <a:solidFill>
                            <a:srgbClr val="C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35.2pt;margin-top:54.7pt;height:15pt;width:0.8pt;z-index:251669504;mso-width-relative:page;mso-height-relative:page;" filled="f" stroked="t" coordsize="21600,21600" o:gfxdata="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91Ld10gAAAAsBAAAPAAAAAAAA&#10;AAEAIAAAACIAAABkcnMvZG93bnJldi54bWxQSwECFAAUAAAACACHTuJAOdIMM98BAACgAwAADgAA&#10;AAAAAAABACAAAAAhAQAAZHJzL2Uyb0RvYy54bWxQSwUGAAAAAAYABgBZAQAAcgUAAAAA&#10;">
                <v:fill on="f" focussize="0,0"/>
                <v:stroke weight="2.25pt" color="#C00000 [3204]" joinstyle="round"/>
                <v:imagedata o:title=""/>
                <o:lock v:ext="edit" aspectratio="f"/>
              </v:line>
            </w:pict>
          </mc:Fallback>
        </mc:AlternateContent>
      </w:r>
      <w:r>
        <w:rPr>
          <w:sz w:val="28"/>
        </w:rPr>
        <mc:AlternateContent>
          <mc:Choice Requires="wps">
            <w:drawing>
              <wp:anchor distT="0" distB="0" distL="114300" distR="114300" simplePos="0" relativeHeight="251667456" behindDoc="0" locked="0" layoutInCell="1" allowOverlap="1">
                <wp:simplePos x="0" y="0"/>
                <wp:positionH relativeFrom="column">
                  <wp:posOffset>806450</wp:posOffset>
                </wp:positionH>
                <wp:positionV relativeFrom="paragraph">
                  <wp:posOffset>800735</wp:posOffset>
                </wp:positionV>
                <wp:extent cx="10795" cy="1386205"/>
                <wp:effectExtent l="13970" t="0" r="32385" b="4445"/>
                <wp:wrapNone/>
                <wp:docPr id="24" name="直接连接符 24"/>
                <wp:cNvGraphicFramePr/>
                <a:graphic xmlns:a="http://schemas.openxmlformats.org/drawingml/2006/main">
                  <a:graphicData uri="http://schemas.microsoft.com/office/word/2010/wordprocessingShape">
                    <wps:wsp>
                      <wps:cNvCnPr/>
                      <wps:spPr>
                        <a:xfrm>
                          <a:off x="0" y="0"/>
                          <a:ext cx="10795" cy="1386205"/>
                        </a:xfrm>
                        <a:prstGeom prst="line">
                          <a:avLst/>
                        </a:prstGeom>
                        <a:ln w="28575">
                          <a:solidFill>
                            <a:srgbClr val="C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3.5pt;margin-top:63.05pt;height:109.15pt;width:0.85pt;z-index:251667456;mso-width-relative:page;mso-height-relative:page;" filled="f" stroked="t" coordsize="21600,21600" o:gfxdata="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1oboTVAAAACwEAAA8AAAAA&#10;AAAAAQAgAAAAIgAAAGRycy9kb3ducmV2LnhtbFBLAQIUABQAAAAIAIdO4kCEISYP3gEAAKEDAAAO&#10;AAAAAAAAAAEAIAAAACQBAABkcnMvZTJvRG9jLnhtbFBLBQYAAAAABgAGAFkBAAB0BQAAAAA=&#10;">
                <v:fill on="f" focussize="0,0"/>
                <v:stroke weight="2.25pt" color="#C00000 [3204]" joinstyle="round"/>
                <v:imagedata o:title=""/>
                <o:lock v:ext="edit" aspectratio="f"/>
              </v:line>
            </w:pict>
          </mc:Fallback>
        </mc:AlternateContent>
      </w:r>
      <w:r>
        <w:rPr>
          <w:sz w:val="28"/>
        </w:rPr>
        <mc:AlternateContent>
          <mc:Choice Requires="wps">
            <w:drawing>
              <wp:anchor distT="0" distB="0" distL="114300" distR="114300" simplePos="0" relativeHeight="251661312" behindDoc="0" locked="0" layoutInCell="1" allowOverlap="1">
                <wp:simplePos x="0" y="0"/>
                <wp:positionH relativeFrom="column">
                  <wp:posOffset>795655</wp:posOffset>
                </wp:positionH>
                <wp:positionV relativeFrom="paragraph">
                  <wp:posOffset>799465</wp:posOffset>
                </wp:positionV>
                <wp:extent cx="913765" cy="1270"/>
                <wp:effectExtent l="0" t="13970" r="635" b="22860"/>
                <wp:wrapNone/>
                <wp:docPr id="21" name="直接连接符 21"/>
                <wp:cNvGraphicFramePr/>
                <a:graphic xmlns:a="http://schemas.openxmlformats.org/drawingml/2006/main">
                  <a:graphicData uri="http://schemas.microsoft.com/office/word/2010/wordprocessingShape">
                    <wps:wsp>
                      <wps:cNvCnPr/>
                      <wps:spPr>
                        <a:xfrm flipH="1">
                          <a:off x="2852420" y="5081905"/>
                          <a:ext cx="913765" cy="1270"/>
                        </a:xfrm>
                        <a:prstGeom prst="line">
                          <a:avLst/>
                        </a:prstGeom>
                        <a:ln w="28575">
                          <a:solidFill>
                            <a:srgbClr val="C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62.65pt;margin-top:62.95pt;height:0.1pt;width:71.95pt;z-index:251661312;mso-width-relative:page;mso-height-relative:page;" filled="f" stroked="t" coordsize="21600,21600" o:gfxdata="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H1fyh2AAAAAsBAAAPAAAAAAAAAAEAIAAAACIAAABkcnMvZG93bnJldi54bWxQSwECFAAU&#10;AAAACACHTuJAoUDpfvEBAAC1AwAADgAAAAAAAAABACAAAAAnAQAAZHJzL2Uyb0RvYy54bWxQSwUG&#10;AAAAAAYABgBZAQAAigUAAAAA&#10;">
                <v:fill on="f" focussize="0,0"/>
                <v:stroke weight="2.25pt" color="#C00000 [3204]" joinstyle="round"/>
                <v:imagedata o:title=""/>
                <o:lock v:ext="edit" aspectratio="f"/>
              </v:line>
            </w:pict>
          </mc:Fallback>
        </mc:AlternateContent>
      </w:r>
      <w:r>
        <w:rPr>
          <w:sz w:val="28"/>
        </w:rPr>
        <mc:AlternateContent>
          <mc:Choice Requires="wps">
            <w:drawing>
              <wp:anchor distT="0" distB="0" distL="114300" distR="114300" simplePos="0" relativeHeight="251668480" behindDoc="0" locked="0" layoutInCell="1" allowOverlap="1">
                <wp:simplePos x="0" y="0"/>
                <wp:positionH relativeFrom="column">
                  <wp:posOffset>806450</wp:posOffset>
                </wp:positionH>
                <wp:positionV relativeFrom="paragraph">
                  <wp:posOffset>2176780</wp:posOffset>
                </wp:positionV>
                <wp:extent cx="2952750" cy="10160"/>
                <wp:effectExtent l="0" t="0" r="0" b="0"/>
                <wp:wrapNone/>
                <wp:docPr id="25" name="直接连接符 25"/>
                <wp:cNvGraphicFramePr/>
                <a:graphic xmlns:a="http://schemas.openxmlformats.org/drawingml/2006/main">
                  <a:graphicData uri="http://schemas.microsoft.com/office/word/2010/wordprocessingShape">
                    <wps:wsp>
                      <wps:cNvCnPr/>
                      <wps:spPr>
                        <a:xfrm flipV="1">
                          <a:off x="0" y="0"/>
                          <a:ext cx="2952750" cy="10160"/>
                        </a:xfrm>
                        <a:prstGeom prst="line">
                          <a:avLst/>
                        </a:prstGeom>
                        <a:ln w="28575">
                          <a:solidFill>
                            <a:srgbClr val="C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63.5pt;margin-top:171.4pt;height:0.8pt;width:232.5pt;z-index:251668480;mso-width-relative:page;mso-height-relative:page;" filled="f" stroked="t" coordsize="21600,21600" o:gfxdata="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51jYd&#10;2AAAAAsBAAAPAAAAAAAAAAEAIAAAACIAAABkcnMvZG93bnJldi54bWxQSwECFAAUAAAACACHTuJA&#10;TQt5OugBAACrAwAADgAAAAAAAAABACAAAAAnAQAAZHJzL2Uyb0RvYy54bWxQSwUGAAAAAAYABgBZ&#10;AQAAgQUAAAAA&#10;">
                <v:fill on="f" focussize="0,0"/>
                <v:stroke weight="2.25pt" color="#C00000 [3204]" joinstyle="round"/>
                <v:imagedata o:title=""/>
                <o:lock v:ext="edit" aspectratio="f"/>
              </v:line>
            </w:pict>
          </mc:Fallback>
        </mc:AlternateContent>
      </w:r>
      <w:r>
        <w:rPr>
          <w:sz w:val="28"/>
        </w:rPr>
        <mc:AlternateContent>
          <mc:Choice Requires="wps">
            <w:drawing>
              <wp:anchor distT="0" distB="0" distL="114300" distR="114300" simplePos="0" relativeHeight="251666432" behindDoc="0" locked="0" layoutInCell="1" allowOverlap="1">
                <wp:simplePos x="0" y="0"/>
                <wp:positionH relativeFrom="column">
                  <wp:posOffset>2874010</wp:posOffset>
                </wp:positionH>
                <wp:positionV relativeFrom="paragraph">
                  <wp:posOffset>1202690</wp:posOffset>
                </wp:positionV>
                <wp:extent cx="1374140" cy="277495"/>
                <wp:effectExtent l="0" t="0" r="16510" b="8255"/>
                <wp:wrapNone/>
                <wp:docPr id="22" name="文本框 22"/>
                <wp:cNvGraphicFramePr/>
                <a:graphic xmlns:a="http://schemas.openxmlformats.org/drawingml/2006/main">
                  <a:graphicData uri="http://schemas.microsoft.com/office/word/2010/wordprocessingShape">
                    <wps:wsp>
                      <wps:cNvSpPr txBox="1"/>
                      <wps:spPr>
                        <a:xfrm>
                          <a:off x="4017010" y="5485130"/>
                          <a:ext cx="1374140" cy="277495"/>
                        </a:xfrm>
                        <a:prstGeom prst="rect">
                          <a:avLst/>
                        </a:prstGeom>
                        <a:solidFill>
                          <a:srgbClr val="7E7F7F"/>
                        </a:solidFill>
                        <a:ln w="6350">
                          <a:noFill/>
                        </a:ln>
                      </wps:spPr>
                      <wps:style>
                        <a:lnRef idx="0">
                          <a:schemeClr val="accent1"/>
                        </a:lnRef>
                        <a:fillRef idx="0">
                          <a:schemeClr val="accent1"/>
                        </a:fillRef>
                        <a:effectRef idx="0">
                          <a:schemeClr val="accent1"/>
                        </a:effectRef>
                        <a:fontRef idx="minor">
                          <a:schemeClr val="dk1"/>
                        </a:fontRef>
                      </wps:style>
                      <wps:txbx>
                        <w:txbxContent>
                          <w:p w14:paraId="0C516925">
                            <w:pPr>
                              <w:rPr>
                                <w:rFonts w:hint="eastAsia" w:eastAsiaTheme="minorEastAsia"/>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无护栏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6.3pt;margin-top:94.7pt;height:21.85pt;width:108.2pt;z-index:251666432;mso-width-relative:page;mso-height-relative:page;" fillcolor="#7E7F7F" filled="t" stroked="f" coordsize="21600,21600" o:gfxdata="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hSnDB2wAAAAsBAAAPAAAAAAAAAAEAIAAAACIAAABkcnMvZG93bnJldi54bWxQSwECFAAUAAAA&#10;CACHTuJAH+pyzV0CAACdBAAADgAAAAAAAAABACAAAAAqAQAAZHJzL2Uyb0RvYy54bWxQSwUGAAAA&#10;AAYABgBZAQAA+QUAAAAA&#10;">
                <v:fill on="t" focussize="0,0"/>
                <v:stroke on="f" weight="0.5pt"/>
                <v:imagedata o:title=""/>
                <o:lock v:ext="edit" aspectratio="f"/>
                <v:textbox>
                  <w:txbxContent>
                    <w:p w14:paraId="0C516925">
                      <w:pPr>
                        <w:rPr>
                          <w:rFonts w:hint="eastAsia" w:eastAsiaTheme="minorEastAsia"/>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无护栏</w:t>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column">
                  <wp:posOffset>797560</wp:posOffset>
                </wp:positionH>
                <wp:positionV relativeFrom="paragraph">
                  <wp:posOffset>1517650</wp:posOffset>
                </wp:positionV>
                <wp:extent cx="4212590" cy="666750"/>
                <wp:effectExtent l="12700" t="12700" r="22860" b="25400"/>
                <wp:wrapNone/>
                <wp:docPr id="20" name="矩形 20"/>
                <wp:cNvGraphicFramePr/>
                <a:graphic xmlns:a="http://schemas.openxmlformats.org/drawingml/2006/main">
                  <a:graphicData uri="http://schemas.microsoft.com/office/word/2010/wordprocessingShape">
                    <wps:wsp>
                      <wps:cNvSpPr/>
                      <wps:spPr>
                        <a:xfrm>
                          <a:off x="0" y="0"/>
                          <a:ext cx="4212590" cy="666750"/>
                        </a:xfrm>
                        <a:prstGeom prst="rect">
                          <a:avLst/>
                        </a:prstGeom>
                        <a:solidFill>
                          <a:srgbClr val="7E7F7F"/>
                        </a:solidFill>
                        <a:ln>
                          <a:solidFill>
                            <a:srgbClr val="7E7F7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8pt;margin-top:119.5pt;height:52.5pt;width:331.7pt;z-index:251660288;v-text-anchor:middle;mso-width-relative:page;mso-height-relative:page;" fillcolor="#7E7F7F" filled="t" stroked="t" coordsize="21600,21600" o:gfxdata="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gw25e1gAAAAsBAAAPAAAAAAAAAAEAIAAAACIAAABkcnMvZG93bnJldi54bWxQSwECFAAUAAAA&#10;CACHTuJAN9hJXmICAADfBAAADgAAAAAAAAABACAAAAAlAQAAZHJzL2Uyb0RvYy54bWxQSwUGAAAA&#10;AAYABgBZAQAA+QUAAAAA&#10;">
                <v:fill on="t" focussize="0,0"/>
                <v:stroke weight="2pt" color="#7E7F7F [2404]" joinstyle="round"/>
                <v:imagedata o:title=""/>
                <o:lock v:ext="edit" aspectratio="f"/>
              </v:rect>
            </w:pict>
          </mc:Fallback>
        </mc:AlternateContent>
      </w:r>
      <w:r>
        <w:rPr>
          <w:sz w:val="28"/>
        </w:rPr>
        <mc:AlternateContent>
          <mc:Choice Requires="wps">
            <w:drawing>
              <wp:anchor distT="0" distB="0" distL="114300" distR="114300" simplePos="0" relativeHeight="251662336" behindDoc="0" locked="0" layoutInCell="1" allowOverlap="1">
                <wp:simplePos x="0" y="0"/>
                <wp:positionH relativeFrom="column">
                  <wp:posOffset>32385</wp:posOffset>
                </wp:positionH>
                <wp:positionV relativeFrom="paragraph">
                  <wp:posOffset>-24038560</wp:posOffset>
                </wp:positionV>
                <wp:extent cx="4212590" cy="666750"/>
                <wp:effectExtent l="12700" t="12700" r="22860" b="25400"/>
                <wp:wrapNone/>
                <wp:docPr id="23" name="矩形 23"/>
                <wp:cNvGraphicFramePr/>
                <a:graphic xmlns:a="http://schemas.openxmlformats.org/drawingml/2006/main">
                  <a:graphicData uri="http://schemas.microsoft.com/office/word/2010/wordprocessingShape">
                    <wps:wsp>
                      <wps:cNvSpPr/>
                      <wps:spPr>
                        <a:xfrm>
                          <a:off x="0" y="0"/>
                          <a:ext cx="4212590" cy="666750"/>
                        </a:xfrm>
                        <a:prstGeom prst="rect">
                          <a:avLst/>
                        </a:prstGeom>
                        <a:solidFill>
                          <a:srgbClr val="7E7F7F"/>
                        </a:solidFill>
                        <a:ln>
                          <a:solidFill>
                            <a:srgbClr val="7E7F7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5pt;margin-top:-1892.8pt;height:52.5pt;width:331.7pt;z-index:251662336;v-text-anchor:middle;mso-width-relative:page;mso-height-relative:page;" fillcolor="#7E7F7F" filled="t" stroked="t" coordsize="21600,21600" o:gfxdata="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5uzlLdkAAAANAQAADwAAAAAAAAABACAAAAAiAAAAZHJzL2Rvd25yZXYueG1sUEsBAhQA&#10;FAAAAAgAh07iQE2RAcZjAgAA3wQAAA4AAAAAAAAAAQAgAAAAKAEAAGRycy9lMm9Eb2MueG1sUEsF&#10;BgAAAAAGAAYAWQEAAP0FAAAAAA==&#10;">
                <v:fill on="t" focussize="0,0"/>
                <v:stroke weight="2pt" color="#7E7F7F [2404]" joinstyle="round"/>
                <v:imagedata o:title=""/>
                <o:lock v:ext="edit" aspectratio="f"/>
              </v:rect>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column">
                  <wp:posOffset>797560</wp:posOffset>
                </wp:positionH>
                <wp:positionV relativeFrom="paragraph">
                  <wp:posOffset>793115</wp:posOffset>
                </wp:positionV>
                <wp:extent cx="4212590" cy="666750"/>
                <wp:effectExtent l="12700" t="12700" r="22860" b="25400"/>
                <wp:wrapNone/>
                <wp:docPr id="19" name="矩形 19"/>
                <wp:cNvGraphicFramePr/>
                <a:graphic xmlns:a="http://schemas.openxmlformats.org/drawingml/2006/main">
                  <a:graphicData uri="http://schemas.microsoft.com/office/word/2010/wordprocessingShape">
                    <wps:wsp>
                      <wps:cNvSpPr/>
                      <wps:spPr>
                        <a:xfrm>
                          <a:off x="1936115" y="5097780"/>
                          <a:ext cx="4212590" cy="666750"/>
                        </a:xfrm>
                        <a:prstGeom prst="rect">
                          <a:avLst/>
                        </a:prstGeom>
                        <a:solidFill>
                          <a:srgbClr val="7E7F7F"/>
                        </a:solidFill>
                        <a:ln>
                          <a:solidFill>
                            <a:srgbClr val="7E7F7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8pt;margin-top:62.45pt;height:52.5pt;width:331.7pt;z-index:251659264;v-text-anchor:middle;mso-width-relative:page;mso-height-relative:page;" fillcolor="#7E7F7F" filled="t" stroked="t" coordsize="21600,21600" o:gfxdata="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acJTjtYAAAALAQAADwAAAAAAAAABACAAAAAiAAAAZHJzL2Rvd25yZXYu&#10;eG1sUEsBAhQAFAAAAAgAh07iQAbEAlhvAgAA6wQAAA4AAAAAAAAAAQAgAAAAJQEAAGRycy9lMm9E&#10;b2MueG1sUEsFBgAAAAAGAAYAWQEAAAYGAAAAAA==&#10;">
                <v:fill on="t" focussize="0,0"/>
                <v:stroke weight="2pt" color="#7E7F7F [2404]" joinstyle="round"/>
                <v:imagedata o:title=""/>
                <o:lock v:ext="edit" aspectratio="f"/>
              </v:rect>
            </w:pict>
          </mc:Fallback>
        </mc:AlternateContent>
      </w:r>
    </w:p>
    <w:p w14:paraId="1B1FEA1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1C207F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39725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w:t>
      </w:r>
    </w:p>
    <w:p w14:paraId="1977C2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sz w:val="28"/>
        </w:rPr>
        <mc:AlternateContent>
          <mc:Choice Requires="wps">
            <w:drawing>
              <wp:anchor distT="0" distB="0" distL="114300" distR="114300" simplePos="0" relativeHeight="251665408" behindDoc="0" locked="0" layoutInCell="1" allowOverlap="1">
                <wp:simplePos x="0" y="0"/>
                <wp:positionH relativeFrom="column">
                  <wp:posOffset>4095750</wp:posOffset>
                </wp:positionH>
                <wp:positionV relativeFrom="paragraph">
                  <wp:posOffset>1219200</wp:posOffset>
                </wp:positionV>
                <wp:extent cx="142240" cy="133350"/>
                <wp:effectExtent l="0" t="9525" r="10160" b="9525"/>
                <wp:wrapNone/>
                <wp:docPr id="36" name="直接箭头连接符 36"/>
                <wp:cNvGraphicFramePr/>
                <a:graphic xmlns:a="http://schemas.openxmlformats.org/drawingml/2006/main">
                  <a:graphicData uri="http://schemas.microsoft.com/office/word/2010/wordprocessingShape">
                    <wps:wsp>
                      <wps:cNvCnPr/>
                      <wps:spPr>
                        <a:xfrm flipH="1">
                          <a:off x="5238750" y="2133600"/>
                          <a:ext cx="142240" cy="133350"/>
                        </a:xfrm>
                        <a:prstGeom prst="straightConnector1">
                          <a:avLst/>
                        </a:prstGeom>
                        <a:ln>
                          <a:solidFill>
                            <a:schemeClr val="bg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322.5pt;margin-top:96pt;height:10.5pt;width:11.2pt;z-index:251665408;mso-width-relative:page;mso-height-relative:page;" filled="f" stroked="t" coordsize="21600,21600" o:gfxdata="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S0gdDbAAAACwEAAA8AAAAA&#10;AAAAAQAgAAAAIgAAAGRycy9kb3ducmV2LnhtbFBLAQIUABQAAAAIAIdO4kAsLWF9EQIAAOQDAAAO&#10;AAAAAAAAAAEAIAAAACoBAABkcnMvZTJvRG9jLnhtbFBLBQYAAAAABgAGAFkBAACtBQAAAAA=&#10;">
                <v:fill on="f" focussize="0,0"/>
                <v:stroke weight="2pt" color="#FFFFFF [3212]" joinstyle="round" endarrow="open"/>
                <v:imagedata o:title=""/>
                <o:lock v:ext="edit" aspectratio="f"/>
              </v:shape>
            </w:pict>
          </mc:Fallback>
        </mc:AlternateContent>
      </w:r>
      <w:r>
        <w:rPr>
          <w:sz w:val="28"/>
        </w:rPr>
        <mc:AlternateContent>
          <mc:Choice Requires="wps">
            <w:drawing>
              <wp:anchor distT="0" distB="0" distL="114300" distR="114300" simplePos="0" relativeHeight="251664384" behindDoc="0" locked="0" layoutInCell="1" allowOverlap="1">
                <wp:simplePos x="0" y="0"/>
                <wp:positionH relativeFrom="column">
                  <wp:posOffset>4041775</wp:posOffset>
                </wp:positionH>
                <wp:positionV relativeFrom="paragraph">
                  <wp:posOffset>1010285</wp:posOffset>
                </wp:positionV>
                <wp:extent cx="468630" cy="300990"/>
                <wp:effectExtent l="0" t="0" r="0" b="0"/>
                <wp:wrapNone/>
                <wp:docPr id="35" name="文本框 35"/>
                <wp:cNvGraphicFramePr/>
                <a:graphic xmlns:a="http://schemas.openxmlformats.org/drawingml/2006/main">
                  <a:graphicData uri="http://schemas.microsoft.com/office/word/2010/wordprocessingShape">
                    <wps:wsp>
                      <wps:cNvSpPr txBox="1"/>
                      <wps:spPr>
                        <a:xfrm>
                          <a:off x="4624705" y="2045970"/>
                          <a:ext cx="46863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1F30F1">
                            <w:pPr>
                              <w:rPr>
                                <w:rFonts w:hint="eastAsia" w:eastAsiaTheme="minorEastAsia"/>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护栏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8.25pt;margin-top:79.55pt;height:23.7pt;width:36.9pt;z-index:251664384;mso-width-relative:page;mso-height-relative:page;" filled="f" stroked="f" coordsize="21600,21600" o:gfxdata="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OZy612wAAAAsBAAAPAAAAAAAA&#10;AAEAIAAAACIAAABkcnMvZG93bnJldi54bWxQSwECFAAUAAAACACHTuJA4ZJHCEgCAABzBAAADgAA&#10;AAAAAAABACAAAAAqAQAAZHJzL2Uyb0RvYy54bWxQSwUGAAAAAAYABgBZAQAA5AUAAAAA&#10;">
                <v:fill on="f" focussize="0,0"/>
                <v:stroke on="f" weight="0.5pt"/>
                <v:imagedata o:title=""/>
                <o:lock v:ext="edit" aspectratio="f"/>
                <v:textbox>
                  <w:txbxContent>
                    <w:p w14:paraId="471F30F1">
                      <w:pPr>
                        <w:rPr>
                          <w:rFonts w:hint="eastAsia" w:eastAsiaTheme="minorEastAsia"/>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护栏</w:t>
                      </w:r>
                    </w:p>
                  </w:txbxContent>
                </v:textbox>
              </v:shape>
            </w:pict>
          </mc:Fallback>
        </mc:AlternateContent>
      </w:r>
      <w:r>
        <w:rPr>
          <w:sz w:val="28"/>
        </w:rPr>
        <mc:AlternateContent>
          <mc:Choice Requires="wps">
            <w:drawing>
              <wp:anchor distT="0" distB="0" distL="114300" distR="114300" simplePos="0" relativeHeight="251663360" behindDoc="0" locked="0" layoutInCell="1" allowOverlap="1">
                <wp:simplePos x="0" y="0"/>
                <wp:positionH relativeFrom="column">
                  <wp:posOffset>841375</wp:posOffset>
                </wp:positionH>
                <wp:positionV relativeFrom="paragraph">
                  <wp:posOffset>1373505</wp:posOffset>
                </wp:positionV>
                <wp:extent cx="4119245" cy="79375"/>
                <wp:effectExtent l="12700" t="12700" r="20955" b="22225"/>
                <wp:wrapNone/>
                <wp:docPr id="34" name="棱台 34"/>
                <wp:cNvGraphicFramePr/>
                <a:graphic xmlns:a="http://schemas.openxmlformats.org/drawingml/2006/main">
                  <a:graphicData uri="http://schemas.microsoft.com/office/word/2010/wordprocessingShape">
                    <wps:wsp>
                      <wps:cNvSpPr/>
                      <wps:spPr>
                        <a:xfrm>
                          <a:off x="1984375" y="2287905"/>
                          <a:ext cx="4119245" cy="79375"/>
                        </a:xfrm>
                        <a:prstGeom prst="bevel">
                          <a:avLst/>
                        </a:prstGeom>
                        <a:solidFill>
                          <a:schemeClr val="bg1"/>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84" type="#_x0000_t84" style="position:absolute;left:0pt;margin-left:66.25pt;margin-top:108.15pt;height:6.25pt;width:324.35pt;z-index:251663360;v-text-anchor:middle;mso-width-relative:page;mso-height-relative:page;" fillcolor="#FFFFFF [3212]" filled="t" stroked="t" coordsize="21600,21600" o:gfxdata="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I1Ft/dwAAAALAQAADwAA&#10;AAAAAAABACAAAAAiAAAAZHJzL2Rvd25yZXYueG1sUEsBAhQAFAAAAAgAh07iQKDYUlGEAgAADQUA&#10;AA4AAAAAAAAAAQAgAAAAKwEAAGRycy9lMm9Eb2MueG1sUEsFBgAAAAAGAAYAWQEAACEGAAAAAA==&#10;" adj="2700">
                <v:fill on="t" focussize="0,0"/>
                <v:stroke weight="2pt" color="#376092 [2404]" joinstyle="round"/>
                <v:imagedata o:title=""/>
                <o:lock v:ext="edit" aspectratio="f"/>
              </v:shape>
            </w:pict>
          </mc:Fallback>
        </mc:AlternateContent>
      </w: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2905125"/>
            <wp:effectExtent l="0" t="0" r="0" b="9525"/>
            <wp:docPr id="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descr="IMG_267"/>
                    <pic:cNvPicPr>
                      <a:picLocks noChangeAspect="1"/>
                    </pic:cNvPicPr>
                  </pic:nvPicPr>
                  <pic:blipFill>
                    <a:blip r:embed="rId15"/>
                    <a:stretch>
                      <a:fillRect/>
                    </a:stretch>
                  </pic:blipFill>
                  <pic:spPr>
                    <a:xfrm>
                      <a:off x="0" y="0"/>
                      <a:ext cx="4762500" cy="2905125"/>
                    </a:xfrm>
                    <a:prstGeom prst="rect">
                      <a:avLst/>
                    </a:prstGeom>
                    <a:noFill/>
                    <a:ln w="9525">
                      <a:noFill/>
                    </a:ln>
                  </pic:spPr>
                </pic:pic>
              </a:graphicData>
            </a:graphic>
          </wp:inline>
        </w:drawing>
      </w:r>
    </w:p>
    <w:p w14:paraId="2B11C5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440226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513863F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b/>
          <w:bCs/>
          <w:i w:val="0"/>
          <w:iCs w:val="0"/>
          <w:caps w:val="0"/>
          <w:color w:val="000000"/>
          <w:spacing w:val="0"/>
          <w:sz w:val="28"/>
          <w:szCs w:val="28"/>
          <w:shd w:val="clear" w:fill="FFFFFF"/>
          <w:vertAlign w:val="baseline"/>
        </w:rPr>
      </w:pPr>
    </w:p>
    <w:p w14:paraId="7C3EE17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示例十一</w:t>
      </w:r>
    </w:p>
    <w:p w14:paraId="6A3266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3096895"/>
            <wp:effectExtent l="0" t="0" r="0" b="825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68"/>
                    <pic:cNvPicPr>
                      <a:picLocks noChangeAspect="1"/>
                    </pic:cNvPicPr>
                  </pic:nvPicPr>
                  <pic:blipFill>
                    <a:blip r:embed="rId16"/>
                    <a:stretch>
                      <a:fillRect/>
                    </a:stretch>
                  </pic:blipFill>
                  <pic:spPr>
                    <a:xfrm>
                      <a:off x="0" y="0"/>
                      <a:ext cx="4762500" cy="3096895"/>
                    </a:xfrm>
                    <a:prstGeom prst="rect">
                      <a:avLst/>
                    </a:prstGeom>
                    <a:noFill/>
                    <a:ln w="9525">
                      <a:noFill/>
                    </a:ln>
                  </pic:spPr>
                </pic:pic>
              </a:graphicData>
            </a:graphic>
          </wp:inline>
        </w:drawing>
      </w:r>
    </w:p>
    <w:p w14:paraId="3EC4C1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5.申请点与参照点位于道路两侧且两者之间为人车分离道路，确认申请点与参照点之间的无障碍最短测量线路后，车道区域按无障碍最短距离测量至另一侧，其他区域按两点之间无障碍最短距离测量，如下图：</w:t>
      </w:r>
    </w:p>
    <w:p w14:paraId="434E4D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示例十二</w:t>
      </w:r>
    </w:p>
    <w:p w14:paraId="36F3B77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3086735"/>
            <wp:effectExtent l="0" t="0" r="0" b="18415"/>
            <wp:docPr id="9"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descr="IMG_269"/>
                    <pic:cNvPicPr>
                      <a:picLocks noChangeAspect="1"/>
                    </pic:cNvPicPr>
                  </pic:nvPicPr>
                  <pic:blipFill>
                    <a:blip r:embed="rId17"/>
                    <a:stretch>
                      <a:fillRect/>
                    </a:stretch>
                  </pic:blipFill>
                  <pic:spPr>
                    <a:xfrm>
                      <a:off x="0" y="0"/>
                      <a:ext cx="4762500" cy="3086735"/>
                    </a:xfrm>
                    <a:prstGeom prst="rect">
                      <a:avLst/>
                    </a:prstGeom>
                    <a:noFill/>
                    <a:ln w="9525">
                      <a:noFill/>
                    </a:ln>
                  </pic:spPr>
                </pic:pic>
              </a:graphicData>
            </a:graphic>
          </wp:inline>
        </w:drawing>
      </w:r>
    </w:p>
    <w:p w14:paraId="174E55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（三）特殊区域</w:t>
      </w:r>
    </w:p>
    <w:p w14:paraId="323816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1.申请点与参照点之间有台阶、楼梯、电扶梯的，以其坡长进行测量，如下图：</w:t>
      </w:r>
    </w:p>
    <w:p w14:paraId="0B80293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示例十三</w:t>
      </w:r>
    </w:p>
    <w:p w14:paraId="435E9E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2066925"/>
            <wp:effectExtent l="0" t="0" r="0" b="9525"/>
            <wp:docPr id="11"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IMG_270"/>
                    <pic:cNvPicPr>
                      <a:picLocks noChangeAspect="1"/>
                    </pic:cNvPicPr>
                  </pic:nvPicPr>
                  <pic:blipFill>
                    <a:blip r:embed="rId18"/>
                    <a:stretch>
                      <a:fillRect/>
                    </a:stretch>
                  </pic:blipFill>
                  <pic:spPr>
                    <a:xfrm>
                      <a:off x="0" y="0"/>
                      <a:ext cx="4762500" cy="2066925"/>
                    </a:xfrm>
                    <a:prstGeom prst="rect">
                      <a:avLst/>
                    </a:prstGeom>
                    <a:noFill/>
                    <a:ln w="9525">
                      <a:noFill/>
                    </a:ln>
                  </pic:spPr>
                </pic:pic>
              </a:graphicData>
            </a:graphic>
          </wp:inline>
        </w:drawing>
      </w:r>
    </w:p>
    <w:p w14:paraId="45ECFE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申请点或参照点位于大楼内部不同楼层，通过楼梯、电扶梯或垂直升降电梯最短距离进行测量，楼梯、电扶梯依照本规则第六条第（三）项第1目进行测量；通过垂直升降电梯的，以楼层垂直层高进行测量，如下图：</w:t>
      </w:r>
    </w:p>
    <w:p w14:paraId="6C5491E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示例十四</w:t>
      </w:r>
    </w:p>
    <w:p w14:paraId="046DFB6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3171825" cy="2866390"/>
            <wp:effectExtent l="0" t="0" r="9525" b="10160"/>
            <wp:docPr id="4"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descr="IMG_271"/>
                    <pic:cNvPicPr>
                      <a:picLocks noChangeAspect="1"/>
                    </pic:cNvPicPr>
                  </pic:nvPicPr>
                  <pic:blipFill>
                    <a:blip r:embed="rId19"/>
                    <a:stretch>
                      <a:fillRect/>
                    </a:stretch>
                  </pic:blipFill>
                  <pic:spPr>
                    <a:xfrm>
                      <a:off x="0" y="0"/>
                      <a:ext cx="3171825" cy="2866390"/>
                    </a:xfrm>
                    <a:prstGeom prst="rect">
                      <a:avLst/>
                    </a:prstGeom>
                    <a:noFill/>
                    <a:ln w="9525">
                      <a:noFill/>
                    </a:ln>
                  </pic:spPr>
                </pic:pic>
              </a:graphicData>
            </a:graphic>
          </wp:inline>
        </w:drawing>
      </w:r>
    </w:p>
    <w:p w14:paraId="4A70D30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3.封闭式道路中间存在天桥、地下通道的，按通过天桥、地下通道的无障碍最短距离进行测量，如下图：</w:t>
      </w:r>
    </w:p>
    <w:p w14:paraId="0D949D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示例十五</w:t>
      </w:r>
    </w:p>
    <w:p w14:paraId="576270D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685800"/>
            <wp:effectExtent l="0" t="0" r="0" b="0"/>
            <wp:docPr id="14"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descr="IMG_272"/>
                    <pic:cNvPicPr>
                      <a:picLocks noChangeAspect="1"/>
                    </pic:cNvPicPr>
                  </pic:nvPicPr>
                  <pic:blipFill>
                    <a:blip r:embed="rId20"/>
                    <a:stretch>
                      <a:fillRect/>
                    </a:stretch>
                  </pic:blipFill>
                  <pic:spPr>
                    <a:xfrm>
                      <a:off x="0" y="0"/>
                      <a:ext cx="4762500" cy="685800"/>
                    </a:xfrm>
                    <a:prstGeom prst="rect">
                      <a:avLst/>
                    </a:prstGeom>
                    <a:noFill/>
                    <a:ln w="9525">
                      <a:noFill/>
                    </a:ln>
                  </pic:spPr>
                </pic:pic>
              </a:graphicData>
            </a:graphic>
          </wp:inline>
        </w:drawing>
      </w:r>
    </w:p>
    <w:p w14:paraId="72FB12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b/>
          <w:bCs/>
          <w:i w:val="0"/>
          <w:iCs w:val="0"/>
          <w:caps w:val="0"/>
          <w:color w:val="000000"/>
          <w:spacing w:val="0"/>
          <w:sz w:val="28"/>
          <w:szCs w:val="28"/>
          <w:shd w:val="clear" w:fill="FFFFFF"/>
          <w:vertAlign w:val="baseline"/>
        </w:rPr>
        <w:t>示例十六</w:t>
      </w:r>
    </w:p>
    <w:p w14:paraId="2855EE1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center"/>
        <w:textAlignment w:val="baseline"/>
        <w:rPr>
          <w:rFonts w:hint="eastAsia" w:ascii="微软雅黑" w:hAnsi="微软雅黑" w:eastAsia="微软雅黑" w:cs="微软雅黑"/>
          <w:i w:val="0"/>
          <w:iCs w:val="0"/>
          <w:caps w:val="0"/>
          <w:color w:val="000000"/>
          <w:spacing w:val="0"/>
          <w:sz w:val="28"/>
          <w:szCs w:val="28"/>
        </w:rPr>
      </w:pPr>
      <w:r>
        <w:rPr>
          <w:rFonts w:hint="eastAsia" w:ascii="微软雅黑" w:hAnsi="微软雅黑" w:eastAsia="微软雅黑" w:cs="微软雅黑"/>
          <w:i w:val="0"/>
          <w:iCs w:val="0"/>
          <w:caps w:val="0"/>
          <w:color w:val="000000"/>
          <w:spacing w:val="0"/>
          <w:sz w:val="28"/>
          <w:szCs w:val="28"/>
          <w:shd w:val="clear" w:fill="FFFFFF"/>
          <w:vertAlign w:val="baseline"/>
        </w:rPr>
        <w:drawing>
          <wp:inline distT="0" distB="0" distL="114300" distR="114300">
            <wp:extent cx="4762500" cy="1066800"/>
            <wp:effectExtent l="0" t="0" r="0" b="0"/>
            <wp:docPr id="7"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descr="IMG_273"/>
                    <pic:cNvPicPr>
                      <a:picLocks noChangeAspect="1"/>
                    </pic:cNvPicPr>
                  </pic:nvPicPr>
                  <pic:blipFill>
                    <a:blip r:embed="rId21"/>
                    <a:stretch>
                      <a:fillRect/>
                    </a:stretch>
                  </pic:blipFill>
                  <pic:spPr>
                    <a:xfrm>
                      <a:off x="0" y="0"/>
                      <a:ext cx="4762500" cy="1066800"/>
                    </a:xfrm>
                    <a:prstGeom prst="rect">
                      <a:avLst/>
                    </a:prstGeom>
                    <a:noFill/>
                    <a:ln w="9525">
                      <a:noFill/>
                    </a:ln>
                  </pic:spPr>
                </pic:pic>
              </a:graphicData>
            </a:graphic>
          </wp:inline>
        </w:drawing>
      </w:r>
    </w:p>
    <w:p w14:paraId="3E9FF97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center"/>
        <w:textAlignment w:val="baseline"/>
        <w:rPr>
          <w:rFonts w:hint="eastAsia" w:ascii="仿宋_GB2312" w:hAnsi="仿宋_GB2312" w:eastAsia="仿宋_GB2312" w:cs="仿宋_GB2312"/>
          <w:b/>
          <w:bCs/>
          <w:color w:val="auto"/>
          <w:kern w:val="2"/>
          <w:sz w:val="32"/>
          <w:szCs w:val="32"/>
          <w:lang w:val="en-US" w:eastAsia="zh-CN" w:bidi="ar-SA"/>
        </w:rPr>
      </w:pPr>
    </w:p>
    <w:p w14:paraId="5BDD96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center"/>
        <w:textAlignment w:val="baseline"/>
        <w:rPr>
          <w:rFonts w:hint="eastAsia" w:ascii="黑体" w:hAnsi="黑体" w:eastAsia="黑体" w:cs="黑体"/>
          <w:b w:val="0"/>
          <w:bCs w:val="0"/>
          <w:color w:val="auto"/>
          <w:kern w:val="2"/>
          <w:sz w:val="32"/>
          <w:szCs w:val="32"/>
          <w:u w:val="none"/>
          <w:lang w:val="en-US" w:eastAsia="zh-CN" w:bidi="ar-SA"/>
        </w:rPr>
      </w:pPr>
    </w:p>
    <w:p w14:paraId="08E0EF3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jc w:val="center"/>
        <w:textAlignment w:val="baseline"/>
        <w:rPr>
          <w:rFonts w:hint="eastAsia" w:ascii="黑体" w:hAnsi="黑体" w:eastAsia="黑体" w:cs="黑体"/>
          <w:b w:val="0"/>
          <w:bCs w:val="0"/>
          <w:color w:val="auto"/>
          <w:kern w:val="2"/>
          <w:sz w:val="32"/>
          <w:szCs w:val="32"/>
          <w:u w:val="none"/>
          <w:lang w:val="en-US" w:eastAsia="zh-CN" w:bidi="ar-SA"/>
        </w:rPr>
      </w:pPr>
      <w:r>
        <w:rPr>
          <w:rFonts w:hint="eastAsia" w:ascii="黑体" w:hAnsi="黑体" w:eastAsia="黑体" w:cs="黑体"/>
          <w:b w:val="0"/>
          <w:bCs w:val="0"/>
          <w:color w:val="auto"/>
          <w:kern w:val="2"/>
          <w:sz w:val="32"/>
          <w:szCs w:val="32"/>
          <w:u w:val="none"/>
          <w:lang w:val="en-US" w:eastAsia="zh-CN" w:bidi="ar-SA"/>
        </w:rPr>
        <w:t>第三章  附 则</w:t>
      </w:r>
    </w:p>
    <w:p w14:paraId="5C7201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第七条</w:t>
      </w:r>
      <w:r>
        <w:rPr>
          <w:rFonts w:hint="eastAsia" w:ascii="仿宋_GB2312" w:hAnsi="仿宋_GB2312" w:eastAsia="仿宋_GB2312" w:cs="仿宋_GB2312"/>
          <w:b w:val="0"/>
          <w:bCs w:val="0"/>
          <w:color w:val="auto"/>
          <w:kern w:val="2"/>
          <w:sz w:val="32"/>
          <w:szCs w:val="32"/>
          <w:lang w:val="en-US" w:eastAsia="zh-CN" w:bidi="ar-SA"/>
        </w:rPr>
        <w:t> 测量结果在正负0.5米或0.5平方米范围以内，申请人或利害关系人提出复核的，由测量单位负责人参与进行二次勘验，并全程视音频记录。</w:t>
      </w:r>
    </w:p>
    <w:p w14:paraId="6994D9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第八条</w:t>
      </w:r>
      <w:r>
        <w:rPr>
          <w:rFonts w:hint="eastAsia" w:ascii="仿宋_GB2312" w:hAnsi="仿宋_GB2312" w:eastAsia="仿宋_GB2312" w:cs="仿宋_GB2312"/>
          <w:b w:val="0"/>
          <w:bCs w:val="0"/>
          <w:color w:val="auto"/>
          <w:kern w:val="2"/>
          <w:sz w:val="32"/>
          <w:szCs w:val="32"/>
          <w:lang w:val="en-US" w:eastAsia="zh-CN" w:bidi="ar-SA"/>
        </w:rPr>
        <w:t> 本规则所称参照点是指申请人周边已经设立的最近烟草制品零售点或中小学校、幼儿园。</w:t>
      </w:r>
    </w:p>
    <w:p w14:paraId="4DB2D8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第九条</w:t>
      </w:r>
      <w:r>
        <w:rPr>
          <w:rFonts w:hint="eastAsia" w:ascii="仿宋_GB2312" w:hAnsi="仿宋_GB2312" w:eastAsia="仿宋_GB2312" w:cs="仿宋_GB2312"/>
          <w:b w:val="0"/>
          <w:bCs w:val="0"/>
          <w:color w:val="auto"/>
          <w:kern w:val="2"/>
          <w:sz w:val="32"/>
          <w:szCs w:val="32"/>
          <w:lang w:val="en-US" w:eastAsia="zh-CN" w:bidi="ar-SA"/>
        </w:rPr>
        <w:t> 本规则所称障碍物，是指政府相关职能部门依法设置的固定隔离带以及各类河流、湖泊、建筑物等物理屏障。停车线以及临时性设置相关设施、小区消防门、道路阶段性施工或放置物品影响测量等情况均不属于本规定所称的障碍物。</w:t>
      </w:r>
    </w:p>
    <w:p w14:paraId="29AA5AA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第十条</w:t>
      </w:r>
      <w:r>
        <w:rPr>
          <w:rFonts w:hint="eastAsia" w:ascii="仿宋_GB2312" w:hAnsi="仿宋_GB2312" w:eastAsia="仿宋_GB2312" w:cs="仿宋_GB2312"/>
          <w:b w:val="0"/>
          <w:bCs w:val="0"/>
          <w:color w:val="auto"/>
          <w:kern w:val="2"/>
          <w:sz w:val="32"/>
          <w:szCs w:val="32"/>
          <w:lang w:val="en-US" w:eastAsia="zh-CN" w:bidi="ar-SA"/>
        </w:rPr>
        <w:t> 本规则所称店门，是指申请点或参照点中所有通道口，包括但不限于正常通勤门、消防门、货运进出口、餐厨进出口、员工进出口等。</w:t>
      </w:r>
    </w:p>
    <w:p w14:paraId="02A3C5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第十一条</w:t>
      </w:r>
      <w:r>
        <w:rPr>
          <w:rFonts w:hint="eastAsia" w:ascii="仿宋_GB2312" w:hAnsi="仿宋_GB2312" w:eastAsia="仿宋_GB2312" w:cs="仿宋_GB2312"/>
          <w:b w:val="0"/>
          <w:bCs w:val="0"/>
          <w:color w:val="auto"/>
          <w:kern w:val="2"/>
          <w:sz w:val="32"/>
          <w:szCs w:val="32"/>
          <w:lang w:val="en-US" w:eastAsia="zh-CN" w:bidi="ar-SA"/>
        </w:rPr>
        <w:t> 本规则所称中小学、幼儿园进出通勤口是指供学生、幼儿正常出入的通道口。遇特殊情况难以认定进出通勤口的，以实地调查取证为准。</w:t>
      </w:r>
    </w:p>
    <w:p w14:paraId="2F67A7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第十二条</w:t>
      </w:r>
      <w:r>
        <w:rPr>
          <w:rFonts w:hint="eastAsia" w:ascii="仿宋_GB2312" w:hAnsi="仿宋_GB2312" w:eastAsia="仿宋_GB2312" w:cs="仿宋_GB2312"/>
          <w:b w:val="0"/>
          <w:bCs w:val="0"/>
          <w:color w:val="auto"/>
          <w:kern w:val="2"/>
          <w:sz w:val="32"/>
          <w:szCs w:val="32"/>
          <w:lang w:val="en-US" w:eastAsia="zh-CN" w:bidi="ar-SA"/>
        </w:rPr>
        <w:t> 本规则未明确测量方法的特殊情形，按照无障碍最短距离测量原则由乌恰县烟草专卖局负责解释。</w:t>
      </w:r>
    </w:p>
    <w:p w14:paraId="4F26EA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第十三条</w:t>
      </w:r>
      <w:r>
        <w:rPr>
          <w:rFonts w:hint="eastAsia" w:ascii="仿宋_GB2312" w:hAnsi="仿宋_GB2312" w:eastAsia="仿宋_GB2312" w:cs="仿宋_GB2312"/>
          <w:b w:val="0"/>
          <w:bCs w:val="0"/>
          <w:color w:val="auto"/>
          <w:kern w:val="2"/>
          <w:sz w:val="32"/>
          <w:szCs w:val="32"/>
          <w:lang w:val="en-US" w:eastAsia="zh-CN" w:bidi="ar-SA"/>
        </w:rPr>
        <w:t> 本规则由乌恰县烟草专卖局负责解释。</w:t>
      </w:r>
    </w:p>
    <w:p w14:paraId="2C51FC5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3"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u w:val="none"/>
          <w:lang w:val="en-US" w:eastAsia="zh-CN" w:bidi="ar-SA"/>
        </w:rPr>
        <w:t>第十四条</w:t>
      </w:r>
      <w:r>
        <w:rPr>
          <w:rFonts w:hint="eastAsia" w:ascii="仿宋_GB2312" w:hAnsi="仿宋_GB2312" w:eastAsia="仿宋_GB2312" w:cs="仿宋_GB2312"/>
          <w:b w:val="0"/>
          <w:bCs w:val="0"/>
          <w:color w:val="auto"/>
          <w:kern w:val="2"/>
          <w:sz w:val="32"/>
          <w:szCs w:val="32"/>
          <w:lang w:val="en-US" w:eastAsia="zh-CN" w:bidi="ar-SA"/>
        </w:rPr>
        <w:t> 本规则自2026年9月30日起施行。</w:t>
      </w:r>
    </w:p>
    <w:p w14:paraId="00B497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p>
    <w:p w14:paraId="2166D6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克孜勒苏柯尔克孜自治州乌恰县</w:t>
      </w:r>
    </w:p>
    <w:p w14:paraId="75E9F72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烟草制品零售点排队轮候管理办法</w:t>
      </w:r>
    </w:p>
    <w:p w14:paraId="67BFC55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u w:val="none"/>
          <w:lang w:val="en-US" w:eastAsia="zh-CN"/>
        </w:rPr>
      </w:pPr>
    </w:p>
    <w:p w14:paraId="28A1D4F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0"/>
          <w:sz w:val="43"/>
          <w:szCs w:val="43"/>
          <w:u w:val="none"/>
          <w:lang w:val="en-US" w:eastAsia="zh-CN" w:bidi="ar"/>
        </w:rPr>
      </w:pPr>
      <w:r>
        <w:rPr>
          <w:rFonts w:hint="eastAsia" w:ascii="黑体" w:hAnsi="黑体" w:eastAsia="黑体" w:cs="黑体"/>
          <w:b w:val="0"/>
          <w:bCs w:val="0"/>
          <w:color w:val="auto"/>
          <w:sz w:val="32"/>
          <w:szCs w:val="32"/>
          <w:u w:val="none"/>
          <w:lang w:val="en-US" w:eastAsia="zh-CN"/>
        </w:rPr>
        <w:t>第一章 总 则</w:t>
      </w:r>
    </w:p>
    <w:p w14:paraId="0F8221C4">
      <w:pPr>
        <w:numPr>
          <w:ilvl w:val="0"/>
          <w:numId w:val="0"/>
        </w:numPr>
        <w:ind w:firstLine="643" w:firstLineChars="200"/>
        <w:rPr>
          <w:rFonts w:hint="eastAsia" w:ascii="仿宋_GB2312" w:hAnsi="Times New Roman" w:eastAsia="仿宋_GB2312" w:cs="Times New Roman"/>
          <w:kern w:val="2"/>
          <w:sz w:val="32"/>
          <w:szCs w:val="32"/>
          <w:lang w:val="en-US" w:eastAsia="zh-CN" w:bidi="ar-SA"/>
        </w:rPr>
      </w:pPr>
      <w:r>
        <w:rPr>
          <w:rFonts w:hint="eastAsia" w:ascii="楷体_GB2312" w:hAnsi="楷体_GB2312" w:eastAsia="楷体_GB2312" w:cs="楷体_GB2312"/>
          <w:b/>
          <w:bCs/>
          <w:color w:val="auto"/>
          <w:sz w:val="32"/>
          <w:szCs w:val="32"/>
          <w:u w:val="none"/>
          <w:lang w:val="en-US" w:eastAsia="zh-CN"/>
        </w:rPr>
        <w:t>第一条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u w:val="none"/>
        </w:rPr>
        <w:t>为全方位提升烟草零售许可事项办理的法治化、标准化、规范化、便利化水平，</w:t>
      </w:r>
      <w:r>
        <w:rPr>
          <w:rFonts w:hint="eastAsia" w:ascii="仿宋_GB2312" w:hAnsi="仿宋_GB2312" w:eastAsia="仿宋_GB2312" w:cs="仿宋_GB2312"/>
          <w:color w:val="auto"/>
          <w:sz w:val="32"/>
          <w:szCs w:val="32"/>
          <w:u w:val="none"/>
          <w:lang w:val="en-US" w:eastAsia="zh-CN"/>
        </w:rPr>
        <w:t>确</w:t>
      </w:r>
      <w:r>
        <w:rPr>
          <w:rFonts w:hint="eastAsia" w:ascii="仿宋_GB2312" w:eastAsia="仿宋_GB2312" w:cs="Times New Roman"/>
          <w:kern w:val="2"/>
          <w:sz w:val="32"/>
          <w:szCs w:val="32"/>
          <w:lang w:val="en-US" w:eastAsia="zh-CN" w:bidi="ar-SA"/>
        </w:rPr>
        <w:t>保市场主体权利平等、机会平等、规则平等，</w:t>
      </w:r>
      <w:r>
        <w:rPr>
          <w:rFonts w:hint="eastAsia" w:ascii="仿宋_GB2312" w:hAnsi="仿宋_GB2312" w:eastAsia="仿宋_GB2312" w:cs="仿宋_GB2312"/>
          <w:color w:val="auto"/>
          <w:sz w:val="32"/>
          <w:szCs w:val="32"/>
        </w:rPr>
        <w:t>根据《中华人民共和国行政许可法》《中华人民共和国未成年人保护法》《中华人民共和国烟草专卖法》《中华人民共和国烟草专卖法实施条例》《烟草专卖许可证管理办法》《烟草专卖许可证管理办法实施细则》等法律法规、规章</w:t>
      </w:r>
      <w:r>
        <w:rPr>
          <w:rFonts w:hint="eastAsia" w:ascii="仿宋_GB2312" w:hAnsi="仿宋_GB2312" w:eastAsia="仿宋_GB2312" w:cs="仿宋_GB2312"/>
          <w:color w:val="auto"/>
          <w:sz w:val="32"/>
          <w:szCs w:val="32"/>
          <w:lang w:eastAsia="zh-CN"/>
        </w:rPr>
        <w:t>和规范性文件</w:t>
      </w:r>
      <w:r>
        <w:rPr>
          <w:rFonts w:hint="eastAsia" w:ascii="仿宋_GB2312" w:hAnsi="仿宋_GB2312" w:eastAsia="仿宋_GB2312" w:cs="仿宋_GB2312"/>
          <w:color w:val="auto"/>
          <w:sz w:val="32"/>
          <w:szCs w:val="32"/>
        </w:rPr>
        <w:t>，</w:t>
      </w:r>
      <w:r>
        <w:rPr>
          <w:rFonts w:hint="eastAsia" w:ascii="仿宋_GB2312" w:hAnsi="Times New Roman" w:eastAsia="仿宋_GB2312" w:cs="Times New Roman"/>
          <w:kern w:val="2"/>
          <w:sz w:val="32"/>
          <w:szCs w:val="32"/>
          <w:lang w:val="en-US" w:eastAsia="zh-CN" w:bidi="ar-SA"/>
        </w:rPr>
        <w:t>结合</w:t>
      </w:r>
      <w:r>
        <w:rPr>
          <w:rFonts w:hint="eastAsia" w:ascii="仿宋_GB2312" w:hAnsi="Times New Roman" w:eastAsia="仿宋_GB2312" w:cs="Times New Roman"/>
          <w:kern w:val="2"/>
          <w:sz w:val="32"/>
          <w:szCs w:val="32"/>
          <w:highlight w:val="none"/>
          <w:lang w:val="en-US" w:eastAsia="zh-CN" w:bidi="ar-SA"/>
        </w:rPr>
        <w:t>乌恰县</w:t>
      </w:r>
      <w:r>
        <w:rPr>
          <w:rFonts w:hint="eastAsia" w:ascii="仿宋_GB2312" w:hAnsi="Times New Roman" w:eastAsia="仿宋_GB2312" w:cs="Times New Roman"/>
          <w:kern w:val="2"/>
          <w:sz w:val="32"/>
          <w:szCs w:val="32"/>
          <w:lang w:val="en-US" w:eastAsia="zh-CN" w:bidi="ar-SA"/>
        </w:rPr>
        <w:t>实际，制定本办法。</w:t>
      </w:r>
    </w:p>
    <w:p w14:paraId="7537C8D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sz w:val="32"/>
          <w:szCs w:val="32"/>
          <w:u w:val="none"/>
          <w:lang w:val="en-US" w:eastAsia="zh-CN"/>
        </w:rPr>
        <w:t>第二条</w:t>
      </w:r>
      <w:r>
        <w:rPr>
          <w:rFonts w:hint="eastAsia" w:ascii="仿宋_GB2312" w:hAnsi="仿宋_GB2312" w:eastAsia="仿宋_GB2312" w:cs="仿宋_GB2312"/>
          <w:color w:val="auto"/>
          <w:sz w:val="32"/>
          <w:szCs w:val="32"/>
          <w:u w:val="none"/>
          <w:lang w:val="en-US" w:eastAsia="zh-CN"/>
        </w:rPr>
        <w:t xml:space="preserve"> 乌恰县烟草专卖局是烟草专卖零售许可证的合法发证机关（以下简称发证机关），依法负责全县烟草专卖零售许可证的受理、审批、发放工作，确保合法合规。</w:t>
      </w:r>
    </w:p>
    <w:p w14:paraId="2C1A5A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sz w:val="32"/>
          <w:szCs w:val="32"/>
          <w:u w:val="none"/>
          <w:lang w:val="en-US" w:eastAsia="zh-CN"/>
        </w:rPr>
        <w:t>第三条</w:t>
      </w:r>
      <w:r>
        <w:rPr>
          <w:rFonts w:hint="eastAsia" w:ascii="仿宋_GB2312" w:hAnsi="仿宋_GB2312" w:eastAsia="仿宋_GB2312" w:cs="仿宋_GB2312"/>
          <w:color w:val="auto"/>
          <w:sz w:val="32"/>
          <w:szCs w:val="32"/>
          <w:u w:val="none"/>
          <w:lang w:val="en-US" w:eastAsia="zh-CN"/>
        </w:rPr>
        <w:t xml:space="preserve"> 本办法中的“市场单元”</w:t>
      </w:r>
      <w:r>
        <w:rPr>
          <w:rFonts w:hint="eastAsia" w:ascii="仿宋_GB2312" w:hAnsi="仿宋_GB2312" w:eastAsia="仿宋_GB2312" w:cs="仿宋_GB2312"/>
          <w:b w:val="0"/>
          <w:color w:val="000000"/>
          <w:sz w:val="32"/>
          <w:szCs w:val="32"/>
          <w:lang w:val="en-US" w:eastAsia="zh-CN"/>
        </w:rPr>
        <w:t>（如网格单元或区域单元）</w:t>
      </w:r>
      <w:r>
        <w:rPr>
          <w:rFonts w:hint="eastAsia" w:ascii="仿宋_GB2312" w:hAnsi="仿宋_GB2312" w:eastAsia="仿宋_GB2312" w:cs="仿宋_GB2312"/>
          <w:color w:val="auto"/>
          <w:sz w:val="32"/>
          <w:szCs w:val="32"/>
          <w:u w:val="none"/>
          <w:lang w:val="en-US" w:eastAsia="zh-CN"/>
        </w:rPr>
        <w:t>、“容量”、“限制性条款”等定义沿用《乌恰县烟草制品零售点合理布局规划》相关内容。</w:t>
      </w:r>
    </w:p>
    <w:p w14:paraId="25DF70BB">
      <w:pPr>
        <w:numPr>
          <w:ilvl w:val="0"/>
          <w:numId w:val="0"/>
        </w:numPr>
        <w:ind w:firstLine="643" w:firstLineChars="200"/>
        <w:rPr>
          <w:rFonts w:hint="eastAsia"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sz w:val="32"/>
          <w:szCs w:val="32"/>
          <w:u w:val="none"/>
          <w:lang w:val="en-US" w:eastAsia="zh-CN"/>
        </w:rPr>
        <w:t>第四条</w:t>
      </w:r>
      <w:r>
        <w:rPr>
          <w:rFonts w:hint="eastAsia" w:ascii="仿宋_GB2312" w:hAnsi="Times New Roman" w:eastAsia="仿宋_GB2312" w:cs="Times New Roman"/>
          <w:kern w:val="2"/>
          <w:sz w:val="32"/>
          <w:szCs w:val="32"/>
          <w:lang w:val="en-US" w:eastAsia="zh-CN" w:bidi="ar-SA"/>
        </w:rPr>
        <w:t xml:space="preserve"> </w:t>
      </w:r>
      <w:r>
        <w:rPr>
          <w:rFonts w:hint="eastAsia" w:ascii="仿宋_GB2312" w:hAnsi="仿宋_GB2312" w:eastAsia="仿宋_GB2312" w:cs="仿宋_GB2312"/>
          <w:color w:val="auto"/>
          <w:sz w:val="32"/>
          <w:szCs w:val="32"/>
          <w:u w:val="none"/>
          <w:lang w:val="en-US" w:eastAsia="zh-CN"/>
        </w:rPr>
        <w:t>本办法适用于乌恰县烟草专卖局在办理烟草专卖零售许可证过程中的排队轮候管理。</w:t>
      </w:r>
    </w:p>
    <w:p w14:paraId="2FE9C6AF">
      <w:pPr>
        <w:numPr>
          <w:ilvl w:val="0"/>
          <w:numId w:val="0"/>
        </w:numPr>
        <w:ind w:firstLine="643" w:firstLineChars="200"/>
        <w:rPr>
          <w:rFonts w:hint="eastAsia"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sz w:val="32"/>
          <w:szCs w:val="32"/>
          <w:u w:val="none"/>
          <w:lang w:val="en-US" w:eastAsia="zh-CN"/>
        </w:rPr>
        <w:t>第五条</w:t>
      </w:r>
      <w:r>
        <w:rPr>
          <w:rFonts w:hint="eastAsia" w:ascii="仿宋_GB2312" w:hAnsi="Times New Roman" w:eastAsia="仿宋_GB2312" w:cs="Times New Roman"/>
          <w:kern w:val="2"/>
          <w:sz w:val="32"/>
          <w:szCs w:val="32"/>
          <w:lang w:val="en-US" w:eastAsia="zh-CN" w:bidi="ar-SA"/>
        </w:rPr>
        <w:t xml:space="preserve"> </w:t>
      </w:r>
      <w:r>
        <w:rPr>
          <w:rFonts w:hint="eastAsia" w:ascii="仿宋_GB2312" w:hAnsi="仿宋_GB2312" w:eastAsia="仿宋_GB2312" w:cs="仿宋_GB2312"/>
          <w:color w:val="auto"/>
          <w:sz w:val="32"/>
          <w:szCs w:val="32"/>
          <w:u w:val="none"/>
          <w:lang w:val="en-US" w:eastAsia="zh-CN"/>
        </w:rPr>
        <w:t>排队轮候坚持公开透明、公平公正原则；因经营场所所在市场单元（如网格单元或区域单元）烟草制品零售点数量达到规划数量上限，被发证机关作出不予许可决定后，可以申请轮候，开始适用本办法。</w:t>
      </w:r>
    </w:p>
    <w:p w14:paraId="26175E2D">
      <w:pPr>
        <w:numPr>
          <w:ilvl w:val="0"/>
          <w:numId w:val="0"/>
        </w:numPr>
        <w:ind w:firstLine="640" w:firstLineChars="200"/>
        <w:rPr>
          <w:rFonts w:hint="default" w:ascii="仿宋_GB2312" w:hAnsi="仿宋_GB2312" w:eastAsia="仿宋_GB2312" w:cs="仿宋_GB2312"/>
          <w:color w:val="auto"/>
          <w:sz w:val="32"/>
          <w:szCs w:val="32"/>
          <w:u w:val="none"/>
          <w:lang w:val="en-US" w:eastAsia="zh-CN"/>
        </w:rPr>
      </w:pPr>
    </w:p>
    <w:p w14:paraId="67F00DF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u w:val="none"/>
          <w:lang w:val="en-US" w:eastAsia="zh-CN"/>
        </w:rPr>
      </w:pPr>
      <w:r>
        <w:rPr>
          <w:rFonts w:hint="eastAsia" w:ascii="黑体" w:hAnsi="黑体" w:eastAsia="黑体" w:cs="黑体"/>
          <w:b w:val="0"/>
          <w:bCs w:val="0"/>
          <w:color w:val="auto"/>
          <w:sz w:val="32"/>
          <w:szCs w:val="32"/>
          <w:u w:val="none"/>
          <w:lang w:val="en-US" w:eastAsia="zh-CN"/>
        </w:rPr>
        <w:t>第二章 轮候规则</w:t>
      </w:r>
    </w:p>
    <w:p w14:paraId="446DF1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eastAsia="仿宋_GB2312" w:cs="Times New Roman"/>
          <w:kern w:val="2"/>
          <w:sz w:val="32"/>
          <w:szCs w:val="32"/>
          <w:lang w:val="en-US" w:eastAsia="zh-CN" w:bidi="ar-SA"/>
        </w:rPr>
      </w:pPr>
      <w:r>
        <w:rPr>
          <w:rFonts w:hint="eastAsia" w:ascii="楷体_GB2312" w:hAnsi="楷体_GB2312" w:eastAsia="楷体_GB2312" w:cs="楷体_GB2312"/>
          <w:b/>
          <w:bCs/>
          <w:color w:val="auto"/>
          <w:sz w:val="32"/>
          <w:szCs w:val="32"/>
          <w:u w:val="none"/>
          <w:lang w:val="en-US" w:eastAsia="zh-CN"/>
        </w:rPr>
        <w:t>第六条</w:t>
      </w:r>
      <w:r>
        <w:rPr>
          <w:rFonts w:hint="eastAsia" w:ascii="仿宋_GB2312" w:hAnsi="Times New Roman" w:eastAsia="仿宋_GB2312" w:cs="Times New Roman"/>
          <w:kern w:val="2"/>
          <w:sz w:val="32"/>
          <w:szCs w:val="32"/>
          <w:lang w:val="en-US" w:eastAsia="zh-CN" w:bidi="ar-SA"/>
        </w:rPr>
        <w:t xml:space="preserve"> </w:t>
      </w:r>
      <w:r>
        <w:rPr>
          <w:rFonts w:hint="eastAsia" w:ascii="仿宋_GB2312" w:eastAsia="仿宋_GB2312" w:cs="Times New Roman"/>
          <w:kern w:val="2"/>
          <w:sz w:val="32"/>
          <w:szCs w:val="32"/>
          <w:lang w:val="en-US" w:eastAsia="zh-CN" w:bidi="ar-SA"/>
        </w:rPr>
        <w:t>排队轮候遵循“先申请、先受理、先办理”的原则，申请人的轮候顺序以全国统一专卖监管平台显示的申请日期为准，具体时间明确到时分秒。轮候期间，同一申请人在同一经营场所多次提出轮候申请的，以第一次轮候顺序为准。</w:t>
      </w:r>
    </w:p>
    <w:p w14:paraId="580FD6E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轮候期间，申请人登记的企业名称/个体工商户名称、法定代表人或负责人姓名、经营地址等事项应与实际经营情况相一致。申请人不得调换、转让轮候顺序。</w:t>
      </w:r>
    </w:p>
    <w:p w14:paraId="376A60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eastAsia="仿宋_GB2312" w:cs="Times New Roman"/>
          <w:kern w:val="2"/>
          <w:sz w:val="32"/>
          <w:szCs w:val="32"/>
          <w:lang w:val="en-US" w:eastAsia="zh-CN" w:bidi="ar-SA"/>
        </w:rPr>
      </w:pPr>
      <w:r>
        <w:rPr>
          <w:rFonts w:hint="eastAsia" w:ascii="楷体_GB2312" w:hAnsi="楷体_GB2312" w:eastAsia="楷体_GB2312" w:cs="楷体_GB2312"/>
          <w:b/>
          <w:bCs/>
          <w:color w:val="auto"/>
          <w:sz w:val="32"/>
          <w:szCs w:val="32"/>
          <w:u w:val="none"/>
          <w:lang w:val="en-US" w:eastAsia="zh-CN"/>
        </w:rPr>
        <w:t>第七条</w:t>
      </w:r>
      <w:r>
        <w:rPr>
          <w:rFonts w:hint="eastAsia" w:ascii="仿宋_GB2312" w:eastAsia="仿宋_GB2312" w:cs="Times New Roman"/>
          <w:kern w:val="2"/>
          <w:sz w:val="32"/>
          <w:szCs w:val="32"/>
          <w:lang w:val="en-US" w:eastAsia="zh-CN" w:bidi="ar-SA"/>
        </w:rPr>
        <w:t xml:space="preserve"> 申请人申请条件属于法律法规有明确规定的，或者属于“限制性条款”的不纳入轮候管理。</w:t>
      </w:r>
    </w:p>
    <w:p w14:paraId="4E1B815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楷体_GB2312" w:hAnsi="楷体_GB2312" w:eastAsia="楷体_GB2312" w:cs="楷体_GB2312"/>
          <w:b/>
          <w:bCs/>
          <w:color w:val="auto"/>
          <w:sz w:val="32"/>
          <w:szCs w:val="32"/>
          <w:u w:val="none"/>
          <w:lang w:val="en" w:eastAsia="zh-CN"/>
        </w:rPr>
        <w:t>第八条</w:t>
      </w:r>
      <w:r>
        <w:rPr>
          <w:rFonts w:hint="eastAsia" w:ascii="仿宋_GB2312" w:hAnsi="仿宋_GB2312" w:eastAsia="仿宋_GB2312" w:cs="仿宋_GB2312"/>
          <w:bCs/>
          <w:color w:val="auto"/>
          <w:sz w:val="32"/>
          <w:szCs w:val="32"/>
          <w:u w:val="none"/>
          <w:lang w:val="en-US" w:eastAsia="zh-CN"/>
        </w:rPr>
        <w:t xml:space="preserve"> </w:t>
      </w:r>
      <w:r>
        <w:rPr>
          <w:rFonts w:hint="eastAsia" w:ascii="仿宋_GB2312" w:hAnsi="仿宋_GB2312" w:eastAsia="仿宋_GB2312" w:cs="仿宋_GB2312"/>
          <w:b w:val="0"/>
          <w:color w:val="000000"/>
          <w:sz w:val="32"/>
          <w:szCs w:val="32"/>
          <w:lang w:val="en-US" w:eastAsia="zh-CN"/>
        </w:rPr>
        <w:t>发证机关应及时公开辖区内各市场单元的零售点规划数量、现有数量、可办数量、排队数量等情况，并通过轮候管理平台（新烟政务通）进行公示。</w:t>
      </w:r>
    </w:p>
    <w:p w14:paraId="4383D4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color w:val="auto"/>
          <w:kern w:val="0"/>
          <w:sz w:val="32"/>
          <w:szCs w:val="32"/>
          <w:u w:val="none"/>
          <w:lang w:val="en-US" w:eastAsia="zh-CN" w:bidi="ar"/>
        </w:rPr>
      </w:pPr>
      <w:r>
        <w:rPr>
          <w:rFonts w:hint="eastAsia" w:ascii="楷体_GB2312" w:hAnsi="楷体_GB2312" w:eastAsia="楷体_GB2312" w:cs="楷体_GB2312"/>
          <w:b/>
          <w:bCs/>
          <w:color w:val="auto"/>
          <w:sz w:val="32"/>
          <w:szCs w:val="32"/>
          <w:u w:val="none"/>
          <w:lang w:val="en-US" w:eastAsia="zh-CN"/>
        </w:rPr>
        <w:t>第九条</w:t>
      </w:r>
      <w:r>
        <w:rPr>
          <w:rFonts w:hint="eastAsia" w:ascii="仿宋_GB2312" w:hAnsi="仿宋_GB2312" w:eastAsia="仿宋_GB2312" w:cs="仿宋_GB2312"/>
          <w:b w:val="0"/>
          <w:bCs w:val="0"/>
          <w:color w:val="auto"/>
          <w:sz w:val="32"/>
          <w:szCs w:val="32"/>
          <w:u w:val="none"/>
          <w:lang w:val="en-US" w:eastAsia="zh-CN"/>
        </w:rPr>
        <w:t xml:space="preserve"> </w:t>
      </w:r>
      <w:r>
        <w:rPr>
          <w:rFonts w:hint="eastAsia" w:ascii="仿宋_GB2312" w:hAnsi="仿宋_GB2312" w:eastAsia="仿宋_GB2312" w:cs="仿宋_GB2312"/>
          <w:b w:val="0"/>
          <w:color w:val="000000"/>
          <w:sz w:val="32"/>
          <w:szCs w:val="32"/>
          <w:lang w:val="en-US" w:eastAsia="zh-CN"/>
        </w:rPr>
        <w:t>轮候申请资料与实际申请资料应当保持一致，轮候顺序不得调换或转让。</w:t>
      </w:r>
    </w:p>
    <w:p w14:paraId="783AA4B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楷体_GB2312" w:hAnsi="楷体_GB2312" w:eastAsia="楷体_GB2312" w:cs="楷体_GB2312"/>
          <w:b/>
          <w:bCs/>
          <w:color w:val="auto"/>
          <w:sz w:val="32"/>
          <w:szCs w:val="32"/>
          <w:u w:val="none"/>
          <w:lang w:val="en-US" w:eastAsia="zh-CN"/>
        </w:rPr>
        <w:t>第十条</w:t>
      </w:r>
      <w:r>
        <w:rPr>
          <w:rFonts w:hint="eastAsia" w:ascii="仿宋_GB2312" w:hAnsi="仿宋_GB2312" w:eastAsia="仿宋_GB2312" w:cs="仿宋_GB2312"/>
          <w:color w:val="auto"/>
          <w:kern w:val="0"/>
          <w:sz w:val="32"/>
          <w:szCs w:val="32"/>
          <w:u w:val="none"/>
          <w:lang w:val="en-US" w:eastAsia="zh-CN" w:bidi="ar"/>
        </w:rPr>
        <w:t xml:space="preserve"> </w:t>
      </w:r>
      <w:r>
        <w:rPr>
          <w:rFonts w:hint="eastAsia" w:ascii="仿宋_GB2312" w:hAnsi="仿宋_GB2312" w:eastAsia="仿宋_GB2312" w:cs="仿宋_GB2312"/>
          <w:b w:val="0"/>
          <w:color w:val="000000"/>
          <w:sz w:val="32"/>
          <w:szCs w:val="32"/>
          <w:lang w:val="en-US" w:eastAsia="zh-CN"/>
        </w:rPr>
        <w:t>当零售点数量符合规划数量时，由发证机关按照轮候顺序通知申请人依次依法申办烟草专卖零售许可证。</w:t>
      </w:r>
    </w:p>
    <w:p w14:paraId="58CBCB2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楷体_GB2312" w:hAnsi="楷体_GB2312" w:eastAsia="楷体_GB2312" w:cs="楷体_GB2312"/>
          <w:b/>
          <w:bCs/>
          <w:color w:val="auto"/>
          <w:kern w:val="2"/>
          <w:sz w:val="32"/>
          <w:szCs w:val="32"/>
          <w:u w:val="none"/>
          <w:lang w:val="en-US" w:eastAsia="zh-CN" w:bidi="ar-SA"/>
        </w:rPr>
        <w:t>第十一条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b w:val="0"/>
          <w:color w:val="000000"/>
          <w:sz w:val="32"/>
          <w:szCs w:val="32"/>
          <w:lang w:val="en-US" w:eastAsia="zh-CN"/>
        </w:rPr>
        <w:t>排队轮候期间，申请人出现下列情形的，则本次排队轮候失效，由发证机关进行清理，下一位次序递补申请：</w:t>
      </w:r>
    </w:p>
    <w:p w14:paraId="40B830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（一）主动放弃排队轮候权利的；</w:t>
      </w:r>
    </w:p>
    <w:p w14:paraId="4CA3855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二）排队轮候到号后，逾期五个工作日内未提出新办申请，或发证机关通过申请人预留的联系方式无法联系到申请人的（5日内随机时段拨打电话3次，或通过短信、书面等方式通知后没有回应的，视为无法联系，应保留录音录像等记录，确保程序合法）。</w:t>
      </w:r>
    </w:p>
    <w:p w14:paraId="09EF5F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（三）经营地址发生变化的；</w:t>
      </w:r>
    </w:p>
    <w:p w14:paraId="65A620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（四）经营主体发生变化的（家庭经营的个体工商户，经营者在家庭成员间变更的除外）；</w:t>
      </w:r>
    </w:p>
    <w:p w14:paraId="4A6F35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（五）被市场监督管理部门吊销或注销营业执照的；</w:t>
      </w:r>
    </w:p>
    <w:p w14:paraId="6831A7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（六）因其他轮候申请人取得许可后导致不符合“间距”相关要求的；</w:t>
      </w:r>
    </w:p>
    <w:p w14:paraId="55F6C3F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（七）擅自从事烟草专卖品生产经营活动受到行政处罚或刑事处罚的；</w:t>
      </w:r>
    </w:p>
    <w:p w14:paraId="7661162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US" w:eastAsia="zh-CN"/>
        </w:rPr>
      </w:pPr>
      <w:r>
        <w:rPr>
          <w:rFonts w:hint="eastAsia" w:ascii="仿宋_GB2312" w:hAnsi="仿宋_GB2312" w:eastAsia="仿宋_GB2312" w:cs="仿宋_GB2312"/>
          <w:b w:val="0"/>
          <w:color w:val="000000"/>
          <w:sz w:val="32"/>
          <w:szCs w:val="32"/>
          <w:lang w:val="en-US" w:eastAsia="zh-CN"/>
        </w:rPr>
        <w:t>（八）因轮候申请人原因导致轮候资格失效的其他情形。</w:t>
      </w:r>
    </w:p>
    <w:p w14:paraId="26A6092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000000"/>
          <w:sz w:val="32"/>
          <w:szCs w:val="32"/>
          <w:lang w:val="en" w:eastAsia="zh-CN"/>
        </w:rPr>
      </w:pPr>
    </w:p>
    <w:p w14:paraId="28263927">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kern w:val="2"/>
          <w:sz w:val="32"/>
          <w:szCs w:val="32"/>
          <w:u w:val="none"/>
          <w:lang w:val="en-US" w:eastAsia="zh-CN" w:bidi="ar-SA"/>
        </w:rPr>
      </w:pPr>
      <w:r>
        <w:rPr>
          <w:rFonts w:hint="eastAsia" w:ascii="黑体" w:hAnsi="黑体" w:eastAsia="黑体" w:cs="黑体"/>
          <w:b w:val="0"/>
          <w:bCs w:val="0"/>
          <w:color w:val="auto"/>
          <w:kern w:val="2"/>
          <w:sz w:val="32"/>
          <w:szCs w:val="32"/>
          <w:u w:val="none"/>
          <w:lang w:val="en-US" w:eastAsia="zh-CN" w:bidi="ar-SA"/>
        </w:rPr>
        <w:t>第三章 排队轮候名额使用程序</w:t>
      </w:r>
    </w:p>
    <w:p w14:paraId="781A2D43">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kern w:val="0"/>
          <w:sz w:val="32"/>
          <w:szCs w:val="32"/>
          <w:u w:val="none"/>
          <w:lang w:val="en-US" w:eastAsia="zh-CN" w:bidi="ar"/>
        </w:rPr>
      </w:pPr>
      <w:r>
        <w:rPr>
          <w:rFonts w:hint="eastAsia" w:ascii="楷体_GB2312" w:hAnsi="楷体_GB2312" w:eastAsia="楷体_GB2312" w:cs="楷体_GB2312"/>
          <w:b/>
          <w:bCs/>
          <w:color w:val="auto"/>
          <w:kern w:val="2"/>
          <w:sz w:val="32"/>
          <w:szCs w:val="32"/>
          <w:u w:val="none"/>
          <w:lang w:val="en-US" w:eastAsia="zh-CN" w:bidi="ar-SA"/>
        </w:rPr>
        <w:t>第十二条</w:t>
      </w:r>
      <w:r>
        <w:rPr>
          <w:rFonts w:hint="eastAsia" w:ascii="仿宋_GB2312" w:hAnsi="仿宋_GB2312" w:eastAsia="仿宋_GB2312" w:cs="仿宋_GB2312"/>
          <w:b w:val="0"/>
          <w:bCs w:val="0"/>
          <w:color w:val="auto"/>
          <w:sz w:val="32"/>
          <w:szCs w:val="32"/>
          <w:u w:val="none"/>
          <w:lang w:val="en-US" w:eastAsia="zh-CN"/>
        </w:rPr>
        <w:t xml:space="preserve"> </w:t>
      </w:r>
      <w:r>
        <w:rPr>
          <w:rFonts w:hint="eastAsia" w:ascii="仿宋_GB2312" w:hAnsi="仿宋_GB2312" w:eastAsia="仿宋_GB2312" w:cs="仿宋_GB2312"/>
          <w:color w:val="auto"/>
          <w:kern w:val="0"/>
          <w:sz w:val="32"/>
          <w:szCs w:val="32"/>
          <w:u w:val="none"/>
          <w:lang w:val="en-US" w:eastAsia="zh-CN" w:bidi="ar"/>
        </w:rPr>
        <w:t>发证机关送达《不予许可决定书》时，告知申请人可参加轮候，申请人愿意参加轮候的，</w:t>
      </w:r>
      <w:r>
        <w:rPr>
          <w:rFonts w:hint="eastAsia" w:ascii="仿宋_GB2312" w:hAnsi="仿宋_GB2312" w:eastAsia="仿宋_GB2312" w:cs="仿宋_GB2312"/>
          <w:b w:val="0"/>
          <w:color w:val="000000"/>
          <w:sz w:val="32"/>
          <w:szCs w:val="32"/>
          <w:lang w:val="en-US" w:eastAsia="zh-CN"/>
        </w:rPr>
        <w:t>由发证机关工作人员指导其签署《烟草专卖零售许可证轮候申请承诺书》</w:t>
      </w:r>
      <w:r>
        <w:rPr>
          <w:rFonts w:hint="eastAsia" w:ascii="仿宋_GB2312" w:hAnsi="仿宋_GB2312" w:eastAsia="仿宋_GB2312" w:cs="仿宋_GB2312"/>
          <w:color w:val="auto"/>
          <w:kern w:val="0"/>
          <w:sz w:val="32"/>
          <w:szCs w:val="32"/>
          <w:u w:val="none"/>
          <w:lang w:val="en-US" w:eastAsia="zh-CN" w:bidi="ar"/>
        </w:rPr>
        <w:t>（附件1），一式两份，分别交由申请人和发证机关保管。排队轮候失效的，工作人员需在《烟草专卖零售许可排队轮候</w:t>
      </w:r>
      <w:r>
        <w:rPr>
          <w:rFonts w:hint="eastAsia" w:ascii="仿宋_GB2312" w:hAnsi="仿宋_GB2312" w:eastAsia="仿宋_GB2312" w:cs="仿宋_GB2312"/>
          <w:b w:val="0"/>
          <w:color w:val="000000"/>
          <w:sz w:val="32"/>
          <w:szCs w:val="32"/>
          <w:lang w:val="en-US" w:eastAsia="zh-CN"/>
        </w:rPr>
        <w:t>申请承诺书</w:t>
      </w:r>
      <w:r>
        <w:rPr>
          <w:rFonts w:hint="eastAsia" w:ascii="仿宋_GB2312" w:hAnsi="仿宋_GB2312" w:eastAsia="仿宋_GB2312" w:cs="仿宋_GB2312"/>
          <w:color w:val="auto"/>
          <w:kern w:val="0"/>
          <w:sz w:val="32"/>
          <w:szCs w:val="32"/>
          <w:u w:val="none"/>
          <w:lang w:val="en-US" w:eastAsia="zh-CN" w:bidi="ar"/>
        </w:rPr>
        <w:t>》（附件1）写明失效原因、时间等具体事项。</w:t>
      </w:r>
    </w:p>
    <w:p w14:paraId="42627262">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both"/>
        <w:textAlignment w:val="auto"/>
        <w:rPr>
          <w:rFonts w:hint="default"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kern w:val="2"/>
          <w:sz w:val="32"/>
          <w:szCs w:val="32"/>
          <w:u w:val="none"/>
          <w:lang w:val="en-US" w:eastAsia="zh-CN" w:bidi="ar-SA"/>
        </w:rPr>
        <w:t>第十三条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当市场单元</w:t>
      </w:r>
      <w:r>
        <w:rPr>
          <w:rFonts w:hint="eastAsia" w:ascii="仿宋_GB2312" w:hAnsi="仿宋_GB2312" w:eastAsia="仿宋_GB2312" w:cs="仿宋_GB2312"/>
          <w:color w:val="auto"/>
          <w:sz w:val="32"/>
          <w:szCs w:val="32"/>
          <w:highlight w:val="none"/>
          <w:u w:val="none"/>
          <w:lang w:val="en" w:eastAsia="zh-CN"/>
        </w:rPr>
        <w:t>容量</w:t>
      </w:r>
      <w:r>
        <w:rPr>
          <w:rFonts w:hint="eastAsia" w:ascii="仿宋_GB2312" w:hAnsi="仿宋_GB2312" w:eastAsia="仿宋_GB2312" w:cs="仿宋_GB2312"/>
          <w:color w:val="auto"/>
          <w:sz w:val="32"/>
          <w:szCs w:val="32"/>
          <w:highlight w:val="none"/>
          <w:u w:val="none"/>
          <w:lang w:val="en-US" w:eastAsia="zh-CN"/>
        </w:rPr>
        <w:t>内有办证额度数时，发证机关按照轮候顺序告知排队到号的申请人，提交新办申请，符合办证条件的，依法作出准予许可决定；不符合办证条件的，依法作出不予许可决定，排队轮候位次按照原顺序依次递进。</w:t>
      </w:r>
    </w:p>
    <w:p w14:paraId="086F3291">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楷体_GB2312" w:hAnsi="楷体_GB2312" w:eastAsia="楷体_GB2312" w:cs="楷体_GB2312"/>
          <w:b/>
          <w:bCs/>
          <w:color w:val="auto"/>
          <w:kern w:val="2"/>
          <w:sz w:val="32"/>
          <w:szCs w:val="32"/>
          <w:u w:val="none"/>
          <w:lang w:val="en-US" w:eastAsia="zh-CN" w:bidi="ar-SA"/>
        </w:rPr>
        <w:t xml:space="preserve">第十四条 </w:t>
      </w:r>
      <w:r>
        <w:rPr>
          <w:rFonts w:hint="eastAsia" w:ascii="仿宋_GB2312" w:hAnsi="仿宋_GB2312" w:eastAsia="仿宋_GB2312" w:cs="仿宋_GB2312"/>
          <w:color w:val="auto"/>
          <w:sz w:val="32"/>
          <w:szCs w:val="32"/>
          <w:highlight w:val="none"/>
          <w:u w:val="none"/>
          <w:lang w:val="en-US" w:eastAsia="zh-CN"/>
        </w:rPr>
        <w:t>申请人轮候顺序发生变动时，发证机关应在新烟政务通小程序进行更新查询，并向排队人员告知查询渠道。</w:t>
      </w:r>
    </w:p>
    <w:p w14:paraId="188A1470">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kern w:val="2"/>
          <w:sz w:val="32"/>
          <w:szCs w:val="32"/>
          <w:u w:val="none"/>
          <w:lang w:val="en-US" w:eastAsia="zh-CN" w:bidi="ar-SA"/>
        </w:rPr>
      </w:pPr>
    </w:p>
    <w:p w14:paraId="2FC49708">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kern w:val="2"/>
          <w:sz w:val="32"/>
          <w:szCs w:val="32"/>
          <w:u w:val="none"/>
          <w:lang w:val="en-US" w:eastAsia="zh-CN" w:bidi="ar-SA"/>
        </w:rPr>
      </w:pPr>
      <w:r>
        <w:rPr>
          <w:rFonts w:hint="eastAsia" w:ascii="黑体" w:hAnsi="黑体" w:eastAsia="黑体" w:cs="黑体"/>
          <w:b w:val="0"/>
          <w:bCs w:val="0"/>
          <w:color w:val="auto"/>
          <w:kern w:val="2"/>
          <w:sz w:val="32"/>
          <w:szCs w:val="32"/>
          <w:u w:val="none"/>
          <w:lang w:val="en-US" w:eastAsia="zh-CN" w:bidi="ar-SA"/>
        </w:rPr>
        <w:t>第四章 监督检查</w:t>
      </w:r>
    </w:p>
    <w:p w14:paraId="4AC6AA47">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楷体_GB2312" w:hAnsi="楷体_GB2312" w:eastAsia="楷体_GB2312" w:cs="楷体_GB2312"/>
          <w:b/>
          <w:bCs/>
          <w:color w:val="auto"/>
          <w:kern w:val="2"/>
          <w:sz w:val="32"/>
          <w:szCs w:val="32"/>
          <w:u w:val="none"/>
          <w:lang w:val="en-US" w:eastAsia="zh-CN" w:bidi="ar-SA"/>
        </w:rPr>
        <w:t>第十五条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工作人员有下列情形之一的，发证机关应依据相关规定追究责任；构成犯罪的，依法移送司法机关追究刑事责任：</w:t>
      </w:r>
    </w:p>
    <w:p w14:paraId="12EC58D9">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（一）徇私舞弊、索贿受贿、谋取非法利益或收取相关费用的；</w:t>
      </w:r>
    </w:p>
    <w:p w14:paraId="4E6E7F65">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（二）滥用职权、玩忽职守、粗暴执法、失职渎职的；</w:t>
      </w:r>
    </w:p>
    <w:p w14:paraId="16E65EC3">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（三）泄露个人信息、企业信息的；</w:t>
      </w:r>
    </w:p>
    <w:p w14:paraId="4D3114C6">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（四）依法应当追究责任的其他情形；</w:t>
      </w:r>
    </w:p>
    <w:p w14:paraId="5BF180EB">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default" w:ascii="仿宋_GB2312" w:hAnsi="仿宋_GB2312" w:eastAsia="仿宋_GB2312" w:cs="仿宋_GB2312"/>
          <w:color w:val="auto"/>
          <w:sz w:val="32"/>
          <w:szCs w:val="32"/>
          <w:highlight w:val="none"/>
          <w:u w:val="none"/>
          <w:lang w:val="en-US" w:eastAsia="zh-CN"/>
        </w:rPr>
      </w:pPr>
    </w:p>
    <w:p w14:paraId="1D5BAFAD">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kern w:val="2"/>
          <w:sz w:val="32"/>
          <w:szCs w:val="32"/>
          <w:u w:val="none"/>
          <w:lang w:val="en-US" w:eastAsia="zh-CN" w:bidi="ar-SA"/>
        </w:rPr>
      </w:pPr>
      <w:r>
        <w:rPr>
          <w:rFonts w:hint="eastAsia" w:ascii="黑体" w:hAnsi="黑体" w:eastAsia="黑体" w:cs="黑体"/>
          <w:b w:val="0"/>
          <w:bCs w:val="0"/>
          <w:color w:val="auto"/>
          <w:kern w:val="2"/>
          <w:sz w:val="32"/>
          <w:szCs w:val="32"/>
          <w:u w:val="none"/>
          <w:lang w:val="en-US" w:eastAsia="zh-CN" w:bidi="ar-SA"/>
        </w:rPr>
        <w:t>第五章 附 则</w:t>
      </w:r>
    </w:p>
    <w:p w14:paraId="42BF10F8">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u w:val="none"/>
        </w:rPr>
      </w:pPr>
      <w:r>
        <w:rPr>
          <w:rFonts w:hint="eastAsia" w:ascii="楷体_GB2312" w:hAnsi="楷体_GB2312" w:eastAsia="楷体_GB2312" w:cs="楷体_GB2312"/>
          <w:b/>
          <w:bCs/>
          <w:color w:val="auto"/>
          <w:kern w:val="2"/>
          <w:sz w:val="32"/>
          <w:szCs w:val="32"/>
          <w:u w:val="none"/>
          <w:lang w:val="en-US" w:eastAsia="zh-CN" w:bidi="ar-SA"/>
        </w:rPr>
        <w:t>第十六条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kern w:val="0"/>
          <w:sz w:val="32"/>
          <w:szCs w:val="32"/>
          <w:highlight w:val="none"/>
          <w:u w:val="none"/>
          <w:lang w:val="en-US" w:eastAsia="zh-CN" w:bidi="ar"/>
        </w:rPr>
        <w:t>本办法所指“以上”包括本数，本办法所指“日”为工作日。</w:t>
      </w:r>
    </w:p>
    <w:p w14:paraId="26FF2D94">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kern w:val="0"/>
          <w:sz w:val="32"/>
          <w:szCs w:val="32"/>
          <w:highlight w:val="none"/>
          <w:u w:val="none"/>
          <w:lang w:val="en-US" w:eastAsia="zh-CN" w:bidi="ar"/>
        </w:rPr>
      </w:pPr>
      <w:r>
        <w:rPr>
          <w:rFonts w:hint="eastAsia" w:ascii="楷体_GB2312" w:hAnsi="楷体_GB2312" w:eastAsia="楷体_GB2312" w:cs="楷体_GB2312"/>
          <w:b/>
          <w:bCs/>
          <w:color w:val="auto"/>
          <w:kern w:val="2"/>
          <w:sz w:val="32"/>
          <w:szCs w:val="32"/>
          <w:u w:val="none"/>
          <w:lang w:val="en-US" w:eastAsia="zh-CN" w:bidi="ar-SA"/>
        </w:rPr>
        <w:t>第十七条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kern w:val="0"/>
          <w:sz w:val="32"/>
          <w:szCs w:val="32"/>
          <w:highlight w:val="none"/>
          <w:u w:val="none"/>
          <w:lang w:val="en-US" w:eastAsia="zh-CN" w:bidi="ar"/>
        </w:rPr>
        <w:t>本办法由乌恰县烟草专卖局负责解释。</w:t>
      </w:r>
    </w:p>
    <w:p w14:paraId="0F380C3D">
      <w:pPr>
        <w:numPr>
          <w:ilvl w:val="0"/>
          <w:numId w:val="0"/>
        </w:numPr>
        <w:ind w:firstLine="643" w:firstLineChars="200"/>
        <w:rPr>
          <w:rFonts w:hint="eastAsia" w:ascii="仿宋_GB2312" w:hAnsi="仿宋_GB2312" w:eastAsia="仿宋_GB2312" w:cs="仿宋_GB2312"/>
          <w:color w:val="auto"/>
          <w:kern w:val="0"/>
          <w:sz w:val="32"/>
          <w:szCs w:val="32"/>
          <w:highlight w:val="none"/>
          <w:u w:val="none"/>
          <w:lang w:val="en-US" w:eastAsia="zh-CN" w:bidi="ar"/>
        </w:rPr>
        <w:sectPr>
          <w:pgSz w:w="11906" w:h="16838"/>
          <w:pgMar w:top="1440" w:right="1800" w:bottom="1440" w:left="1800" w:header="851" w:footer="992" w:gutter="0"/>
          <w:cols w:space="720" w:num="1"/>
          <w:docGrid w:type="lines" w:linePitch="312" w:charSpace="0"/>
        </w:sectPr>
      </w:pPr>
      <w:r>
        <w:rPr>
          <w:rFonts w:hint="eastAsia" w:ascii="楷体_GB2312" w:hAnsi="楷体_GB2312" w:eastAsia="楷体_GB2312" w:cs="楷体_GB2312"/>
          <w:b/>
          <w:bCs/>
          <w:color w:val="auto"/>
          <w:kern w:val="2"/>
          <w:sz w:val="32"/>
          <w:szCs w:val="32"/>
          <w:u w:val="none"/>
          <w:lang w:val="en-US" w:eastAsia="zh-CN" w:bidi="ar-SA"/>
        </w:rPr>
        <w:t>第十八条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kern w:val="0"/>
          <w:sz w:val="32"/>
          <w:szCs w:val="32"/>
          <w:highlight w:val="none"/>
          <w:u w:val="none"/>
          <w:lang w:val="en-US" w:eastAsia="zh-CN" w:bidi="ar"/>
        </w:rPr>
        <w:t>本办法与2026年9月30日实施的《乌恰县烟草制品零售点合理布局规划》同步实施。本办法与上级文件不一致的，以上级文件规定为准，如遇法律法规或相关政策调整，将适时对本制度进行修订。</w:t>
      </w:r>
    </w:p>
    <w:p w14:paraId="187F29BF">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rPr>
          <w:rFonts w:hint="eastAsia" w:ascii="仿宋_GB2312" w:hAnsi="仿宋_GB2312" w:eastAsia="仿宋_GB2312" w:cs="仿宋_GB2312"/>
          <w:b w:val="0"/>
          <w:color w:val="000000"/>
          <w:sz w:val="32"/>
          <w:szCs w:val="44"/>
          <w:lang w:val="en-US" w:eastAsia="zh-CN"/>
        </w:rPr>
      </w:pPr>
      <w:r>
        <w:rPr>
          <w:rFonts w:hint="eastAsia" w:ascii="方正黑体_GBK" w:hAnsi="方正黑体_GBK" w:eastAsia="方正黑体_GBK" w:cs="方正黑体_GBK"/>
          <w:b w:val="0"/>
          <w:bCs w:val="0"/>
          <w:color w:val="000000"/>
          <w:sz w:val="32"/>
          <w:szCs w:val="32"/>
        </w:rPr>
        <w:t>附件</w:t>
      </w:r>
    </w:p>
    <w:p w14:paraId="5BE3F057">
      <w:pPr>
        <w:keepNext w:val="0"/>
        <w:keepLines w:val="0"/>
        <w:pageBreakBefore w:val="0"/>
        <w:widowControl w:val="0"/>
        <w:kinsoku/>
        <w:wordWrap/>
        <w:overflowPunct/>
        <w:topLinePunct w:val="0"/>
        <w:autoSpaceDE/>
        <w:autoSpaceDN/>
        <w:bidi w:val="0"/>
        <w:adjustRightInd/>
        <w:snapToGrid/>
        <w:spacing w:line="560" w:lineRule="exact"/>
        <w:ind w:firstLine="320" w:firstLineChars="0"/>
        <w:jc w:val="center"/>
        <w:textAlignment w:val="auto"/>
        <w:rPr>
          <w:rFonts w:hint="default" w:ascii="方正小标宋简体" w:hAnsi="方正小标宋简体" w:eastAsia="方正小标宋简体" w:cs="方正小标宋简体"/>
          <w:b w:val="0"/>
          <w:color w:val="000000"/>
          <w:sz w:val="44"/>
          <w:szCs w:val="44"/>
          <w:lang w:val="en-US" w:eastAsia="zh-CN"/>
        </w:rPr>
      </w:pPr>
      <w:r>
        <w:rPr>
          <w:rFonts w:hint="eastAsia" w:ascii="方正小标宋简体" w:hAnsi="方正小标宋简体" w:eastAsia="方正小标宋简体" w:cs="方正小标宋简体"/>
          <w:b w:val="0"/>
          <w:color w:val="000000"/>
          <w:sz w:val="44"/>
          <w:szCs w:val="44"/>
          <w:lang w:val="en-US" w:eastAsia="zh-CN"/>
        </w:rPr>
        <w:t>烟草专卖零售许可证</w:t>
      </w:r>
      <w:r>
        <w:rPr>
          <w:rFonts w:hint="eastAsia" w:ascii="方正小标宋简体" w:hAnsi="方正小标宋简体" w:eastAsia="方正小标宋简体" w:cs="方正小标宋简体"/>
          <w:b w:val="0"/>
          <w:color w:val="000000"/>
          <w:sz w:val="44"/>
          <w:szCs w:val="44"/>
          <w:lang w:eastAsia="zh-CN"/>
        </w:rPr>
        <w:t>轮候申请承诺书</w:t>
      </w:r>
    </w:p>
    <w:p w14:paraId="42B66C8F">
      <w:pPr>
        <w:keepNext w:val="0"/>
        <w:keepLines w:val="0"/>
        <w:pageBreakBefore w:val="0"/>
        <w:widowControl w:val="0"/>
        <w:kinsoku/>
        <w:wordWrap/>
        <w:overflowPunct/>
        <w:topLinePunct w:val="0"/>
        <w:autoSpaceDE/>
        <w:autoSpaceDN/>
        <w:bidi w:val="0"/>
        <w:adjustRightInd/>
        <w:snapToGrid/>
        <w:spacing w:line="560" w:lineRule="exact"/>
        <w:ind w:firstLine="320" w:firstLineChars="0"/>
        <w:jc w:val="center"/>
        <w:textAlignment w:val="auto"/>
        <w:rPr>
          <w:rFonts w:hint="eastAsia" w:ascii="仿宋_GB2312" w:hAnsi="仿宋_GB2312" w:eastAsia="仿宋_GB2312" w:cs="仿宋_GB2312"/>
          <w:b w:val="0"/>
          <w:color w:val="000000"/>
          <w:sz w:val="32"/>
          <w:szCs w:val="44"/>
        </w:rPr>
      </w:pPr>
    </w:p>
    <w:tbl>
      <w:tblPr>
        <w:tblStyle w:val="7"/>
        <w:tblW w:w="888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01"/>
        <w:gridCol w:w="557"/>
        <w:gridCol w:w="839"/>
        <w:gridCol w:w="1943"/>
        <w:gridCol w:w="1943"/>
      </w:tblGrid>
      <w:tr w14:paraId="3C73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883" w:type="dxa"/>
            <w:gridSpan w:val="5"/>
            <w:noWrap w:val="0"/>
            <w:vAlign w:val="top"/>
          </w:tcPr>
          <w:p w14:paraId="161FF1AB">
            <w:pPr>
              <w:spacing w:line="560" w:lineRule="exact"/>
              <w:ind w:firstLine="482" w:firstLineChars="20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申请人基本信息</w:t>
            </w:r>
          </w:p>
        </w:tc>
      </w:tr>
      <w:tr w14:paraId="748B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601" w:type="dxa"/>
            <w:noWrap w:val="0"/>
            <w:vAlign w:val="center"/>
          </w:tcPr>
          <w:p w14:paraId="3DEA2430">
            <w:pPr>
              <w:spacing w:line="5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申请人（法定代表人或负责人）姓名</w:t>
            </w:r>
          </w:p>
        </w:tc>
        <w:tc>
          <w:tcPr>
            <w:tcW w:w="1396" w:type="dxa"/>
            <w:gridSpan w:val="2"/>
            <w:noWrap w:val="0"/>
            <w:vAlign w:val="center"/>
          </w:tcPr>
          <w:p w14:paraId="1922C3BA">
            <w:pPr>
              <w:spacing w:line="560" w:lineRule="exact"/>
              <w:ind w:firstLine="480" w:firstLineChars="200"/>
              <w:rPr>
                <w:rFonts w:hint="eastAsia" w:ascii="仿宋_GB2312" w:hAnsi="仿宋_GB2312" w:eastAsia="仿宋_GB2312" w:cs="仿宋_GB2312"/>
                <w:sz w:val="24"/>
                <w:szCs w:val="24"/>
                <w:lang w:val="en-US" w:eastAsia="zh-CN"/>
              </w:rPr>
            </w:pPr>
          </w:p>
        </w:tc>
        <w:tc>
          <w:tcPr>
            <w:tcW w:w="1943" w:type="dxa"/>
            <w:noWrap w:val="0"/>
            <w:vAlign w:val="center"/>
          </w:tcPr>
          <w:p w14:paraId="2790BAD6">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申请日期</w:t>
            </w:r>
          </w:p>
        </w:tc>
        <w:tc>
          <w:tcPr>
            <w:tcW w:w="1943" w:type="dxa"/>
            <w:noWrap w:val="0"/>
            <w:vAlign w:val="center"/>
          </w:tcPr>
          <w:p w14:paraId="39B49D72">
            <w:pPr>
              <w:spacing w:line="560" w:lineRule="exact"/>
              <w:ind w:firstLine="480" w:firstLineChars="200"/>
              <w:rPr>
                <w:rFonts w:hint="eastAsia" w:ascii="仿宋_GB2312" w:hAnsi="仿宋_GB2312" w:eastAsia="仿宋_GB2312" w:cs="仿宋_GB2312"/>
                <w:sz w:val="24"/>
                <w:szCs w:val="24"/>
                <w:lang w:val="en-US" w:eastAsia="zh-CN"/>
              </w:rPr>
            </w:pPr>
          </w:p>
        </w:tc>
      </w:tr>
      <w:tr w14:paraId="053C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vMerge w:val="restart"/>
            <w:noWrap w:val="0"/>
            <w:vAlign w:val="center"/>
          </w:tcPr>
          <w:p w14:paraId="442A3975">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身份证号</w:t>
            </w:r>
          </w:p>
        </w:tc>
        <w:tc>
          <w:tcPr>
            <w:tcW w:w="1396" w:type="dxa"/>
            <w:gridSpan w:val="2"/>
            <w:vMerge w:val="restart"/>
            <w:noWrap w:val="0"/>
            <w:vAlign w:val="top"/>
          </w:tcPr>
          <w:p w14:paraId="668B3481">
            <w:pPr>
              <w:spacing w:line="560" w:lineRule="exact"/>
              <w:ind w:firstLine="480" w:firstLineChars="200"/>
              <w:rPr>
                <w:rFonts w:hint="eastAsia" w:ascii="仿宋_GB2312" w:hAnsi="仿宋_GB2312" w:eastAsia="仿宋_GB2312" w:cs="仿宋_GB2312"/>
                <w:sz w:val="24"/>
                <w:szCs w:val="24"/>
                <w:lang w:val="en-US" w:eastAsia="zh-CN"/>
              </w:rPr>
            </w:pPr>
          </w:p>
        </w:tc>
        <w:tc>
          <w:tcPr>
            <w:tcW w:w="1943" w:type="dxa"/>
            <w:noWrap w:val="0"/>
            <w:vAlign w:val="top"/>
          </w:tcPr>
          <w:p w14:paraId="28F4B612">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联系电话</w:t>
            </w:r>
          </w:p>
        </w:tc>
        <w:tc>
          <w:tcPr>
            <w:tcW w:w="1943" w:type="dxa"/>
            <w:noWrap w:val="0"/>
            <w:vAlign w:val="top"/>
          </w:tcPr>
          <w:p w14:paraId="75338D00">
            <w:pPr>
              <w:spacing w:line="560" w:lineRule="exact"/>
              <w:ind w:firstLine="480" w:firstLineChars="200"/>
              <w:rPr>
                <w:rFonts w:hint="eastAsia" w:ascii="仿宋_GB2312" w:hAnsi="仿宋_GB2312" w:eastAsia="仿宋_GB2312" w:cs="仿宋_GB2312"/>
                <w:sz w:val="24"/>
                <w:szCs w:val="24"/>
                <w:lang w:val="en-US" w:eastAsia="zh-CN"/>
              </w:rPr>
            </w:pPr>
          </w:p>
        </w:tc>
      </w:tr>
      <w:tr w14:paraId="0DC8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vMerge w:val="continue"/>
            <w:noWrap w:val="0"/>
            <w:vAlign w:val="top"/>
          </w:tcPr>
          <w:p w14:paraId="65E076D7">
            <w:pPr>
              <w:spacing w:line="560" w:lineRule="exact"/>
              <w:ind w:firstLine="480" w:firstLineChars="200"/>
              <w:rPr>
                <w:rFonts w:hint="eastAsia" w:ascii="仿宋_GB2312" w:hAnsi="仿宋_GB2312" w:eastAsia="仿宋_GB2312" w:cs="仿宋_GB2312"/>
                <w:sz w:val="24"/>
                <w:szCs w:val="24"/>
                <w:lang w:val="en-US" w:eastAsia="zh-CN"/>
              </w:rPr>
            </w:pPr>
          </w:p>
        </w:tc>
        <w:tc>
          <w:tcPr>
            <w:tcW w:w="1396" w:type="dxa"/>
            <w:gridSpan w:val="2"/>
            <w:vMerge w:val="continue"/>
            <w:noWrap w:val="0"/>
            <w:vAlign w:val="top"/>
          </w:tcPr>
          <w:p w14:paraId="77AB0148">
            <w:pPr>
              <w:spacing w:line="560" w:lineRule="exact"/>
              <w:ind w:firstLine="480" w:firstLineChars="200"/>
              <w:rPr>
                <w:rFonts w:hint="eastAsia" w:ascii="仿宋_GB2312" w:hAnsi="仿宋_GB2312" w:eastAsia="仿宋_GB2312" w:cs="仿宋_GB2312"/>
                <w:sz w:val="24"/>
                <w:szCs w:val="24"/>
                <w:lang w:val="en-US" w:eastAsia="zh-CN"/>
              </w:rPr>
            </w:pPr>
          </w:p>
        </w:tc>
        <w:tc>
          <w:tcPr>
            <w:tcW w:w="1943" w:type="dxa"/>
            <w:noWrap w:val="0"/>
            <w:vAlign w:val="top"/>
          </w:tcPr>
          <w:p w14:paraId="3489C37D">
            <w:pPr>
              <w:spacing w:line="5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备用联系方式</w:t>
            </w:r>
          </w:p>
        </w:tc>
        <w:tc>
          <w:tcPr>
            <w:tcW w:w="1943" w:type="dxa"/>
            <w:noWrap w:val="0"/>
            <w:vAlign w:val="top"/>
          </w:tcPr>
          <w:p w14:paraId="4BBDE72E">
            <w:pPr>
              <w:spacing w:line="560" w:lineRule="exact"/>
              <w:ind w:firstLine="480" w:firstLineChars="200"/>
              <w:rPr>
                <w:rFonts w:hint="eastAsia" w:ascii="仿宋_GB2312" w:hAnsi="仿宋_GB2312" w:eastAsia="仿宋_GB2312" w:cs="仿宋_GB2312"/>
                <w:sz w:val="24"/>
                <w:szCs w:val="24"/>
                <w:lang w:val="en-US" w:eastAsia="zh-CN"/>
              </w:rPr>
            </w:pPr>
          </w:p>
        </w:tc>
      </w:tr>
      <w:tr w14:paraId="49CB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8883" w:type="dxa"/>
            <w:gridSpan w:val="5"/>
            <w:noWrap w:val="0"/>
            <w:vAlign w:val="top"/>
          </w:tcPr>
          <w:p w14:paraId="29C19020">
            <w:pPr>
              <w:spacing w:line="560" w:lineRule="exact"/>
              <w:ind w:firstLine="482" w:firstLineChars="20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营业执照基本信息</w:t>
            </w:r>
          </w:p>
        </w:tc>
      </w:tr>
      <w:tr w14:paraId="7C60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noWrap w:val="0"/>
            <w:vAlign w:val="center"/>
          </w:tcPr>
          <w:p w14:paraId="5824553D">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企业名称</w:t>
            </w:r>
          </w:p>
        </w:tc>
        <w:tc>
          <w:tcPr>
            <w:tcW w:w="1396" w:type="dxa"/>
            <w:gridSpan w:val="2"/>
            <w:noWrap w:val="0"/>
            <w:vAlign w:val="center"/>
          </w:tcPr>
          <w:p w14:paraId="12B6A04B">
            <w:pPr>
              <w:spacing w:line="560" w:lineRule="exact"/>
              <w:ind w:firstLine="480" w:firstLineChars="200"/>
              <w:rPr>
                <w:rFonts w:hint="eastAsia" w:ascii="仿宋_GB2312" w:hAnsi="仿宋_GB2312" w:eastAsia="仿宋_GB2312" w:cs="仿宋_GB2312"/>
                <w:sz w:val="24"/>
                <w:szCs w:val="24"/>
                <w:lang w:val="en-US" w:eastAsia="zh-CN"/>
              </w:rPr>
            </w:pPr>
          </w:p>
        </w:tc>
        <w:tc>
          <w:tcPr>
            <w:tcW w:w="1943" w:type="dxa"/>
            <w:noWrap w:val="0"/>
            <w:vAlign w:val="center"/>
          </w:tcPr>
          <w:p w14:paraId="25E26FB5">
            <w:pPr>
              <w:spacing w:line="5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统一社会信用代码</w:t>
            </w:r>
          </w:p>
        </w:tc>
        <w:tc>
          <w:tcPr>
            <w:tcW w:w="1943" w:type="dxa"/>
            <w:noWrap w:val="0"/>
            <w:vAlign w:val="center"/>
          </w:tcPr>
          <w:p w14:paraId="46EB950A">
            <w:pPr>
              <w:spacing w:line="560" w:lineRule="exact"/>
              <w:ind w:firstLine="480" w:firstLineChars="200"/>
              <w:rPr>
                <w:rFonts w:hint="eastAsia" w:ascii="仿宋_GB2312" w:hAnsi="仿宋_GB2312" w:eastAsia="仿宋_GB2312" w:cs="仿宋_GB2312"/>
                <w:sz w:val="24"/>
                <w:szCs w:val="24"/>
                <w:lang w:val="en-US" w:eastAsia="zh-CN"/>
              </w:rPr>
            </w:pPr>
          </w:p>
        </w:tc>
      </w:tr>
      <w:tr w14:paraId="6B93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noWrap w:val="0"/>
            <w:vAlign w:val="top"/>
          </w:tcPr>
          <w:p w14:paraId="15C25984">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企业类型</w:t>
            </w:r>
          </w:p>
        </w:tc>
        <w:tc>
          <w:tcPr>
            <w:tcW w:w="5282" w:type="dxa"/>
            <w:gridSpan w:val="4"/>
            <w:noWrap w:val="0"/>
            <w:vAlign w:val="top"/>
          </w:tcPr>
          <w:p w14:paraId="2777FA4B">
            <w:pPr>
              <w:spacing w:line="560" w:lineRule="exact"/>
              <w:ind w:firstLine="480" w:firstLineChars="200"/>
              <w:rPr>
                <w:rFonts w:hint="eastAsia" w:ascii="仿宋_GB2312" w:hAnsi="仿宋_GB2312" w:eastAsia="仿宋_GB2312" w:cs="仿宋_GB2312"/>
                <w:sz w:val="24"/>
                <w:szCs w:val="24"/>
                <w:lang w:val="en-US" w:eastAsia="zh-CN"/>
              </w:rPr>
            </w:pPr>
          </w:p>
        </w:tc>
      </w:tr>
      <w:tr w14:paraId="4E6F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noWrap w:val="0"/>
            <w:vAlign w:val="top"/>
          </w:tcPr>
          <w:p w14:paraId="044462D0">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经营场所详细地址</w:t>
            </w:r>
          </w:p>
        </w:tc>
        <w:tc>
          <w:tcPr>
            <w:tcW w:w="5282" w:type="dxa"/>
            <w:gridSpan w:val="4"/>
            <w:noWrap w:val="0"/>
            <w:vAlign w:val="top"/>
          </w:tcPr>
          <w:p w14:paraId="0CFA3156">
            <w:pPr>
              <w:spacing w:line="560" w:lineRule="exact"/>
              <w:ind w:firstLine="480" w:firstLineChars="200"/>
              <w:rPr>
                <w:rFonts w:hint="eastAsia" w:ascii="仿宋_GB2312" w:hAnsi="仿宋_GB2312" w:eastAsia="仿宋_GB2312" w:cs="仿宋_GB2312"/>
                <w:sz w:val="24"/>
                <w:szCs w:val="24"/>
                <w:lang w:val="en-US" w:eastAsia="zh-CN"/>
              </w:rPr>
            </w:pPr>
          </w:p>
        </w:tc>
      </w:tr>
      <w:tr w14:paraId="2735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1" w:type="dxa"/>
            <w:noWrap w:val="0"/>
            <w:vAlign w:val="top"/>
          </w:tcPr>
          <w:p w14:paraId="5AB6D408">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归属市场单元</w:t>
            </w:r>
          </w:p>
        </w:tc>
        <w:tc>
          <w:tcPr>
            <w:tcW w:w="5282" w:type="dxa"/>
            <w:gridSpan w:val="4"/>
            <w:noWrap w:val="0"/>
            <w:vAlign w:val="top"/>
          </w:tcPr>
          <w:p w14:paraId="738F2FA7">
            <w:pPr>
              <w:spacing w:line="560" w:lineRule="exact"/>
              <w:ind w:firstLine="480" w:firstLineChars="200"/>
              <w:rPr>
                <w:rFonts w:hint="eastAsia" w:ascii="仿宋_GB2312" w:hAnsi="仿宋_GB2312" w:eastAsia="仿宋_GB2312" w:cs="仿宋_GB2312"/>
                <w:sz w:val="24"/>
                <w:szCs w:val="24"/>
                <w:lang w:val="en-US" w:eastAsia="zh-CN"/>
              </w:rPr>
            </w:pPr>
          </w:p>
        </w:tc>
      </w:tr>
      <w:tr w14:paraId="083D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3" w:type="dxa"/>
            <w:gridSpan w:val="5"/>
            <w:noWrap w:val="0"/>
            <w:vAlign w:val="top"/>
          </w:tcPr>
          <w:p w14:paraId="5E595BDE">
            <w:pPr>
              <w:spacing w:line="560" w:lineRule="exact"/>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申请人承诺</w:t>
            </w:r>
          </w:p>
          <w:p w14:paraId="1C2EF839">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本人已认真阅读并遵守《乌恰县烟草制品零售点合理布局规划》《乌恰县烟草制品零售点轮候管理办法》，知悉属地烟草制品零售点合理布局规划相关内容，自愿参加烟草专卖零售许可证办理轮候，并承诺如下：</w:t>
            </w:r>
          </w:p>
          <w:p w14:paraId="2F99DE1A">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（一）以上信息经本人核对，确认无误。所提交的信息以及文件、证件、有关材料全部真实有效，复印件与原件一致，如存在弄虚作假、欺骗等行为的,自愿承担由此引起的一切法律责任。</w:t>
            </w:r>
          </w:p>
          <w:p w14:paraId="4BE2E08A">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（二）本人提交的预登记信息确保与到号办理时提交的办证信息一致，若不一致的，则重新登记轮候；</w:t>
            </w:r>
          </w:p>
          <w:p w14:paraId="6645976F">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轮候期间，发生以下情形的，本次轮候资格失效：1.主动放弃轮候权利的；2.排队轮候到号后，逾期五个工作日内未提出新办申请，或发证机关通过申请人预留的联系方式无法联系到申请人的（5日内随机时段拨打电话三次，或通过短信、书面等方式通知后没有回应的，视为无法联系）3.经营地址发生变化的；4.经营主体发生变化的（家庭经营的个体工商户，经营者在家庭成员间变更的除外）；5.因其他轮候申请人取得许可后导致不符合“间距”相关要求的；6.擅自从事烟草专卖品生产经营活动受到行政处罚或刑事处罚的；7.被市场监督管理部门吊销或注销营业执照的；8.因轮候申请人原因导致轮候资格失效的其他情形。</w:t>
            </w:r>
          </w:p>
          <w:p w14:paraId="21A1E1AD">
            <w:pPr>
              <w:spacing w:line="560" w:lineRule="exact"/>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申请人应知</w:t>
            </w:r>
          </w:p>
          <w:p w14:paraId="020F9959">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1.申请人可在新烟政务通查询市场单元</w:t>
            </w:r>
            <w:r>
              <w:rPr>
                <w:rFonts w:hint="eastAsia" w:ascii="仿宋_GB2312" w:hAnsi="仿宋_GB2312" w:eastAsia="仿宋_GB2312" w:cs="仿宋_GB2312"/>
                <w:sz w:val="24"/>
                <w:szCs w:val="24"/>
                <w:lang w:val="en" w:eastAsia="zh-CN"/>
              </w:rPr>
              <w:t>容量上限</w:t>
            </w:r>
            <w:r>
              <w:rPr>
                <w:rFonts w:hint="eastAsia" w:ascii="仿宋_GB2312" w:hAnsi="仿宋_GB2312" w:eastAsia="仿宋_GB2312" w:cs="仿宋_GB2312"/>
                <w:sz w:val="24"/>
                <w:szCs w:val="24"/>
                <w:lang w:val="en-US" w:eastAsia="zh-CN"/>
              </w:rPr>
              <w:t>和排队轮候情况，当符合办证条件时，发证机关按照轮候顺序告知排队到号的申请人，提交新办申请；</w:t>
            </w:r>
          </w:p>
          <w:p w14:paraId="1E1B2C4E">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2.轮候申请资料与实际申请资料应当保持一致，轮候顺序不得调换或转让；</w:t>
            </w:r>
          </w:p>
          <w:p w14:paraId="294FA7C1">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3.申请人在市场单元内的排序以“全国统一专卖监管平台（省级端）”系统中接收到的申请时间为准，具体时间精确到时分秒；</w:t>
            </w:r>
          </w:p>
          <w:p w14:paraId="0121A8BF">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4.排队轮候时长由所在市场单元容量情况决定，无法预测具体等待时间；</w:t>
            </w:r>
          </w:p>
          <w:p w14:paraId="5D2903D1">
            <w:pPr>
              <w:spacing w:line="56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5.排队轮候到号不等同于获得烟草专卖零售许可证，能否获证以到号受理申请后依法审批的实际情况决定。</w:t>
            </w:r>
          </w:p>
          <w:p w14:paraId="63CE5C7E">
            <w:pPr>
              <w:keepNext w:val="0"/>
              <w:keepLines w:val="0"/>
              <w:pageBreakBefore w:val="0"/>
              <w:widowControl w:val="0"/>
              <w:kinsoku/>
              <w:wordWrap/>
              <w:overflowPunct/>
              <w:topLinePunct w:val="0"/>
              <w:autoSpaceDE/>
              <w:autoSpaceDN/>
              <w:bidi w:val="0"/>
              <w:adjustRightInd/>
              <w:snapToGrid/>
              <w:spacing w:line="400" w:lineRule="exact"/>
              <w:ind w:firstLine="320"/>
              <w:jc w:val="right"/>
              <w:textAlignment w:val="auto"/>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 xml:space="preserve">                      </w:t>
            </w:r>
          </w:p>
        </w:tc>
      </w:tr>
      <w:tr w14:paraId="6B2E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4158" w:type="dxa"/>
            <w:gridSpan w:val="2"/>
            <w:noWrap w:val="0"/>
            <w:vAlign w:val="top"/>
          </w:tcPr>
          <w:p w14:paraId="06515EFE">
            <w:pPr>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申请人（签名）</w:t>
            </w:r>
            <w:r>
              <w:rPr>
                <w:rFonts w:hint="eastAsia" w:ascii="仿宋_GB2312" w:hAnsi="仿宋_GB2312" w:eastAsia="仿宋_GB2312" w:cs="仿宋_GB2312"/>
                <w:sz w:val="24"/>
                <w:szCs w:val="24"/>
              </w:rPr>
              <w:t>：</w:t>
            </w:r>
          </w:p>
          <w:p w14:paraId="4A5737B6">
            <w:pPr>
              <w:spacing w:line="56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p>
        </w:tc>
        <w:tc>
          <w:tcPr>
            <w:tcW w:w="4725" w:type="dxa"/>
            <w:gridSpan w:val="3"/>
            <w:noWrap w:val="0"/>
            <w:vAlign w:val="top"/>
          </w:tcPr>
          <w:p w14:paraId="0BE42606">
            <w:pPr>
              <w:spacing w:line="56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专卖执法人员</w:t>
            </w:r>
            <w:r>
              <w:rPr>
                <w:rFonts w:hint="eastAsia" w:ascii="仿宋_GB2312" w:hAnsi="仿宋_GB2312" w:eastAsia="仿宋_GB2312" w:cs="仿宋_GB2312"/>
                <w:sz w:val="24"/>
                <w:szCs w:val="24"/>
                <w:lang w:eastAsia="zh-CN"/>
              </w:rPr>
              <w:t>（签名）</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 xml:space="preserve">  乌恰县    乌恰县</w:t>
            </w:r>
          </w:p>
          <w:p w14:paraId="667F694E">
            <w:pPr>
              <w:spacing w:line="560" w:lineRule="exact"/>
              <w:rPr>
                <w:rFonts w:hint="eastAsia" w:ascii="仿宋_GB2312" w:hAnsi="仿宋_GB2312" w:eastAsia="仿宋_GB2312" w:cs="仿宋_GB2312"/>
                <w:sz w:val="24"/>
                <w:szCs w:val="24"/>
                <w:lang w:val="en-US" w:eastAsia="zh-CN"/>
              </w:rPr>
            </w:pPr>
          </w:p>
        </w:tc>
      </w:tr>
      <w:tr w14:paraId="5983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883" w:type="dxa"/>
            <w:gridSpan w:val="5"/>
            <w:noWrap w:val="0"/>
            <w:vAlign w:val="top"/>
          </w:tcPr>
          <w:p w14:paraId="77893E1A">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备注：</w:t>
            </w:r>
            <w:r>
              <w:rPr>
                <w:rFonts w:hint="eastAsia" w:ascii="仿宋_GB2312" w:hAnsi="仿宋_GB2312" w:eastAsia="仿宋_GB2312" w:cs="仿宋_GB2312"/>
                <w:b w:val="0"/>
                <w:color w:val="000000"/>
                <w:sz w:val="24"/>
                <w:szCs w:val="24"/>
                <w:lang w:eastAsia="zh-CN"/>
              </w:rPr>
              <w:t>本申请表一式两份，排队申请人和发证机关各执一份。</w:t>
            </w:r>
          </w:p>
        </w:tc>
      </w:tr>
      <w:tr w14:paraId="3CEA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883" w:type="dxa"/>
            <w:gridSpan w:val="5"/>
            <w:shd w:val="clear" w:color="auto" w:fill="EEECE1" w:themeFill="background2"/>
            <w:noWrap w:val="0"/>
            <w:vAlign w:val="top"/>
          </w:tcPr>
          <w:p w14:paraId="0969968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4"/>
                <w:szCs w:val="24"/>
                <w:highlight w:val="none"/>
                <w:shd w:val="clear" w:color="FFFFFF" w:fill="D9D9D9"/>
                <w:lang w:val="en-US" w:eastAsia="zh-CN"/>
              </w:rPr>
            </w:pPr>
          </w:p>
        </w:tc>
      </w:tr>
      <w:tr w14:paraId="1C14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883" w:type="dxa"/>
            <w:gridSpan w:val="5"/>
            <w:noWrap w:val="0"/>
            <w:vAlign w:val="top"/>
          </w:tcPr>
          <w:p w14:paraId="7736C6C1">
            <w:pPr>
              <w:spacing w:line="5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失效原因(详细写明失效时间、因何原因造成轮候失效)： </w:t>
            </w:r>
          </w:p>
          <w:p w14:paraId="03826BB2">
            <w:pPr>
              <w:spacing w:line="560" w:lineRule="exact"/>
              <w:rPr>
                <w:rFonts w:hint="default" w:ascii="仿宋_GB2312" w:hAnsi="仿宋_GB2312" w:eastAsia="仿宋_GB2312" w:cs="仿宋_GB2312"/>
                <w:sz w:val="24"/>
                <w:szCs w:val="24"/>
                <w:lang w:val="en-US" w:eastAsia="zh-CN"/>
              </w:rPr>
            </w:pPr>
          </w:p>
          <w:p w14:paraId="0306118C">
            <w:pPr>
              <w:spacing w:line="560" w:lineRule="exact"/>
              <w:ind w:firstLine="3840" w:firstLineChars="160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专卖执法人员</w:t>
            </w:r>
            <w:r>
              <w:rPr>
                <w:rFonts w:hint="eastAsia" w:ascii="仿宋_GB2312" w:hAnsi="仿宋_GB2312" w:eastAsia="仿宋_GB2312" w:cs="仿宋_GB2312"/>
                <w:sz w:val="24"/>
                <w:szCs w:val="24"/>
                <w:lang w:eastAsia="zh-CN"/>
              </w:rPr>
              <w:t>（签名）</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乌恰县    乌恰县</w:t>
            </w:r>
          </w:p>
          <w:p w14:paraId="33472B63">
            <w:pPr>
              <w:spacing w:line="560" w:lineRule="exact"/>
              <w:ind w:firstLine="3840" w:firstLineChars="16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日期：</w:t>
            </w:r>
          </w:p>
        </w:tc>
      </w:tr>
      <w:tr w14:paraId="4606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883" w:type="dxa"/>
            <w:gridSpan w:val="5"/>
            <w:noWrap w:val="0"/>
            <w:vAlign w:val="top"/>
          </w:tcPr>
          <w:p w14:paraId="1C067F79">
            <w:pPr>
              <w:spacing w:line="5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部门意见：</w:t>
            </w:r>
            <w:r>
              <w:rPr>
                <w:rFonts w:hint="eastAsia" w:ascii="仿宋_GB2312" w:hAnsi="仿宋_GB2312" w:eastAsia="仿宋_GB2312" w:cs="仿宋_GB2312"/>
                <w:sz w:val="24"/>
                <w:szCs w:val="24"/>
                <w:lang w:val="en-US" w:eastAsia="zh-CN"/>
              </w:rPr>
              <w:t xml:space="preserve">                                           </w:t>
            </w:r>
          </w:p>
          <w:p w14:paraId="454CF96D">
            <w:pPr>
              <w:spacing w:line="56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时间：</w:t>
            </w:r>
          </w:p>
        </w:tc>
      </w:tr>
    </w:tbl>
    <w:p w14:paraId="3FC9BC23">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附件2：</w:t>
      </w:r>
    </w:p>
    <w:p w14:paraId="541DC557">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方正小标宋简体" w:hAnsi="方正小标宋简体" w:eastAsia="方正小标宋简体" w:cs="方正小标宋简体"/>
          <w:color w:val="auto"/>
          <w:sz w:val="44"/>
          <w:szCs w:val="44"/>
          <w:u w:val="none"/>
          <w:lang w:val="en-US" w:eastAsia="zh-CN"/>
        </w:rPr>
      </w:pPr>
      <w:r>
        <w:rPr>
          <w:rFonts w:hint="eastAsia" w:ascii="方正小标宋简体" w:hAnsi="方正小标宋简体" w:eastAsia="方正小标宋简体" w:cs="方正小标宋简体"/>
          <w:color w:val="auto"/>
          <w:sz w:val="44"/>
          <w:szCs w:val="44"/>
          <w:u w:val="none"/>
          <w:lang w:val="en-US" w:eastAsia="zh-CN"/>
        </w:rPr>
        <w:t>烟草专卖零售许可排队轮候失效通知书</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7"/>
        <w:gridCol w:w="744"/>
        <w:gridCol w:w="579"/>
        <w:gridCol w:w="1846"/>
        <w:gridCol w:w="1836"/>
      </w:tblGrid>
      <w:tr w14:paraId="7E35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522" w:type="dxa"/>
            <w:gridSpan w:val="5"/>
            <w:noWrap w:val="0"/>
            <w:vAlign w:val="top"/>
          </w:tcPr>
          <w:p w14:paraId="18CA6DC4">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lang w:eastAsia="zh-CN"/>
              </w:rPr>
            </w:pPr>
            <w:r>
              <w:rPr>
                <w:rFonts w:hint="eastAsia" w:ascii="宋体" w:hAnsi="宋体" w:eastAsia="宋体" w:cs="宋体"/>
                <w:b/>
                <w:bCs w:val="0"/>
                <w:color w:val="auto"/>
                <w:sz w:val="21"/>
                <w:szCs w:val="21"/>
                <w:u w:val="none"/>
                <w:vertAlign w:val="baseline"/>
                <w:lang w:eastAsia="zh-CN"/>
              </w:rPr>
              <w:t>申请人基本信息</w:t>
            </w:r>
          </w:p>
        </w:tc>
      </w:tr>
      <w:tr w14:paraId="6D71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517" w:type="dxa"/>
            <w:noWrap w:val="0"/>
            <w:vAlign w:val="center"/>
          </w:tcPr>
          <w:p w14:paraId="01BF81C1">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val="0"/>
                <w:color w:val="auto"/>
                <w:sz w:val="21"/>
                <w:szCs w:val="21"/>
                <w:u w:val="none"/>
              </w:rPr>
              <w:t>申请人</w:t>
            </w:r>
            <w:r>
              <w:rPr>
                <w:rFonts w:hint="eastAsia" w:ascii="宋体" w:hAnsi="宋体" w:eastAsia="宋体" w:cs="宋体"/>
                <w:b w:val="0"/>
                <w:color w:val="auto"/>
                <w:sz w:val="21"/>
                <w:szCs w:val="21"/>
                <w:u w:val="none"/>
                <w:lang w:eastAsia="zh-CN"/>
              </w:rPr>
              <w:t>（法定代表人或负责人）</w:t>
            </w:r>
            <w:r>
              <w:rPr>
                <w:rFonts w:hint="eastAsia" w:ascii="宋体" w:hAnsi="宋体" w:eastAsia="宋体" w:cs="宋体"/>
                <w:b w:val="0"/>
                <w:color w:val="auto"/>
                <w:sz w:val="21"/>
                <w:szCs w:val="21"/>
                <w:u w:val="none"/>
              </w:rPr>
              <w:t>姓名</w:t>
            </w:r>
          </w:p>
        </w:tc>
        <w:tc>
          <w:tcPr>
            <w:tcW w:w="1323" w:type="dxa"/>
            <w:gridSpan w:val="2"/>
            <w:noWrap w:val="0"/>
            <w:vAlign w:val="center"/>
          </w:tcPr>
          <w:p w14:paraId="5E3F6CCB">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c>
          <w:tcPr>
            <w:tcW w:w="1846" w:type="dxa"/>
            <w:noWrap w:val="0"/>
            <w:vAlign w:val="center"/>
          </w:tcPr>
          <w:p w14:paraId="56EDF16E">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val="0"/>
                <w:color w:val="auto"/>
                <w:sz w:val="21"/>
                <w:szCs w:val="21"/>
                <w:u w:val="none"/>
              </w:rPr>
              <w:t>申请日期</w:t>
            </w:r>
          </w:p>
        </w:tc>
        <w:tc>
          <w:tcPr>
            <w:tcW w:w="1836" w:type="dxa"/>
            <w:noWrap w:val="0"/>
            <w:vAlign w:val="center"/>
          </w:tcPr>
          <w:p w14:paraId="771FA6C0">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443B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vMerge w:val="restart"/>
            <w:noWrap w:val="0"/>
            <w:vAlign w:val="center"/>
          </w:tcPr>
          <w:p w14:paraId="2FEB36FB">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val="0"/>
                <w:color w:val="auto"/>
                <w:sz w:val="21"/>
                <w:szCs w:val="21"/>
                <w:u w:val="none"/>
              </w:rPr>
              <w:t>身份证号</w:t>
            </w:r>
          </w:p>
        </w:tc>
        <w:tc>
          <w:tcPr>
            <w:tcW w:w="1323" w:type="dxa"/>
            <w:gridSpan w:val="2"/>
            <w:vMerge w:val="restart"/>
            <w:noWrap w:val="0"/>
            <w:vAlign w:val="top"/>
          </w:tcPr>
          <w:p w14:paraId="5A07F544">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c>
          <w:tcPr>
            <w:tcW w:w="1846" w:type="dxa"/>
            <w:noWrap w:val="0"/>
            <w:vAlign w:val="top"/>
          </w:tcPr>
          <w:p w14:paraId="6C2C480C">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val="0"/>
                <w:color w:val="auto"/>
                <w:sz w:val="21"/>
                <w:szCs w:val="21"/>
                <w:u w:val="none"/>
              </w:rPr>
              <w:t>联系电话</w:t>
            </w:r>
          </w:p>
        </w:tc>
        <w:tc>
          <w:tcPr>
            <w:tcW w:w="1836" w:type="dxa"/>
            <w:noWrap w:val="0"/>
            <w:vAlign w:val="top"/>
          </w:tcPr>
          <w:p w14:paraId="4F7D248E">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2738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vMerge w:val="continue"/>
            <w:noWrap w:val="0"/>
            <w:vAlign w:val="top"/>
          </w:tcPr>
          <w:p w14:paraId="22370A91">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rPr>
            </w:pPr>
          </w:p>
        </w:tc>
        <w:tc>
          <w:tcPr>
            <w:tcW w:w="1323" w:type="dxa"/>
            <w:gridSpan w:val="2"/>
            <w:vMerge w:val="continue"/>
            <w:noWrap w:val="0"/>
            <w:vAlign w:val="top"/>
          </w:tcPr>
          <w:p w14:paraId="20EA81D4">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c>
          <w:tcPr>
            <w:tcW w:w="1846" w:type="dxa"/>
            <w:noWrap w:val="0"/>
            <w:vAlign w:val="top"/>
          </w:tcPr>
          <w:p w14:paraId="5BB33EF0">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lang w:eastAsia="zh-CN"/>
              </w:rPr>
            </w:pPr>
            <w:r>
              <w:rPr>
                <w:rFonts w:hint="eastAsia" w:ascii="宋体" w:hAnsi="宋体" w:eastAsia="宋体" w:cs="宋体"/>
                <w:b w:val="0"/>
                <w:color w:val="auto"/>
                <w:sz w:val="21"/>
                <w:szCs w:val="21"/>
                <w:u w:val="none"/>
                <w:lang w:eastAsia="zh-CN"/>
              </w:rPr>
              <w:t>备用联系方式</w:t>
            </w:r>
          </w:p>
        </w:tc>
        <w:tc>
          <w:tcPr>
            <w:tcW w:w="1836" w:type="dxa"/>
            <w:noWrap w:val="0"/>
            <w:vAlign w:val="top"/>
          </w:tcPr>
          <w:p w14:paraId="6456512C">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1EA3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8522" w:type="dxa"/>
            <w:gridSpan w:val="5"/>
            <w:noWrap w:val="0"/>
            <w:vAlign w:val="top"/>
          </w:tcPr>
          <w:p w14:paraId="786E4E35">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bCs w:val="0"/>
                <w:color w:val="auto"/>
                <w:sz w:val="21"/>
                <w:szCs w:val="21"/>
                <w:u w:val="none"/>
              </w:rPr>
              <w:t>营业执照</w:t>
            </w:r>
            <w:r>
              <w:rPr>
                <w:rFonts w:hint="eastAsia" w:ascii="宋体" w:hAnsi="宋体" w:eastAsia="宋体" w:cs="宋体"/>
                <w:b/>
                <w:bCs w:val="0"/>
                <w:color w:val="auto"/>
                <w:sz w:val="21"/>
                <w:szCs w:val="21"/>
                <w:u w:val="none"/>
                <w:lang w:eastAsia="zh-CN"/>
              </w:rPr>
              <w:t>基本信息</w:t>
            </w:r>
          </w:p>
        </w:tc>
      </w:tr>
      <w:tr w14:paraId="3AF0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noWrap w:val="0"/>
            <w:vAlign w:val="center"/>
          </w:tcPr>
          <w:p w14:paraId="0D19A035">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lang w:eastAsia="zh-CN"/>
              </w:rPr>
            </w:pPr>
            <w:r>
              <w:rPr>
                <w:rFonts w:hint="eastAsia" w:ascii="宋体" w:hAnsi="宋体" w:eastAsia="宋体" w:cs="宋体"/>
                <w:b w:val="0"/>
                <w:color w:val="auto"/>
                <w:sz w:val="21"/>
                <w:szCs w:val="21"/>
                <w:u w:val="none"/>
                <w:lang w:eastAsia="zh-CN"/>
              </w:rPr>
              <w:t>企业名称</w:t>
            </w:r>
          </w:p>
        </w:tc>
        <w:tc>
          <w:tcPr>
            <w:tcW w:w="1323" w:type="dxa"/>
            <w:gridSpan w:val="2"/>
            <w:noWrap w:val="0"/>
            <w:vAlign w:val="center"/>
          </w:tcPr>
          <w:p w14:paraId="12443781">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c>
          <w:tcPr>
            <w:tcW w:w="1846" w:type="dxa"/>
            <w:noWrap w:val="0"/>
            <w:vAlign w:val="center"/>
          </w:tcPr>
          <w:p w14:paraId="317A3508">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rPr>
            </w:pPr>
            <w:r>
              <w:rPr>
                <w:rFonts w:hint="eastAsia" w:ascii="宋体" w:hAnsi="宋体" w:eastAsia="宋体" w:cs="宋体"/>
                <w:b w:val="0"/>
                <w:color w:val="auto"/>
                <w:sz w:val="21"/>
                <w:szCs w:val="21"/>
                <w:u w:val="none"/>
              </w:rPr>
              <w:t>统一社会信用代码</w:t>
            </w:r>
          </w:p>
        </w:tc>
        <w:tc>
          <w:tcPr>
            <w:tcW w:w="1836" w:type="dxa"/>
            <w:noWrap w:val="0"/>
            <w:vAlign w:val="center"/>
          </w:tcPr>
          <w:p w14:paraId="5A641EFA">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42F08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noWrap w:val="0"/>
            <w:vAlign w:val="top"/>
          </w:tcPr>
          <w:p w14:paraId="636AD4ED">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vertAlign w:val="baseline"/>
              </w:rPr>
            </w:pPr>
            <w:r>
              <w:rPr>
                <w:rFonts w:hint="eastAsia" w:ascii="宋体" w:hAnsi="宋体" w:eastAsia="宋体" w:cs="宋体"/>
                <w:b w:val="0"/>
                <w:color w:val="auto"/>
                <w:sz w:val="21"/>
                <w:szCs w:val="21"/>
                <w:u w:val="none"/>
              </w:rPr>
              <w:t>企业类型</w:t>
            </w:r>
          </w:p>
        </w:tc>
        <w:tc>
          <w:tcPr>
            <w:tcW w:w="5005" w:type="dxa"/>
            <w:gridSpan w:val="4"/>
            <w:noWrap w:val="0"/>
            <w:vAlign w:val="top"/>
          </w:tcPr>
          <w:p w14:paraId="6B202B56">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06CB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noWrap w:val="0"/>
            <w:vAlign w:val="top"/>
          </w:tcPr>
          <w:p w14:paraId="66AC2902">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rPr>
            </w:pPr>
            <w:r>
              <w:rPr>
                <w:rFonts w:hint="eastAsia" w:ascii="宋体" w:hAnsi="宋体" w:eastAsia="宋体" w:cs="宋体"/>
                <w:b w:val="0"/>
                <w:color w:val="auto"/>
                <w:sz w:val="21"/>
                <w:szCs w:val="21"/>
                <w:u w:val="none"/>
              </w:rPr>
              <w:t>经营场所详细地址</w:t>
            </w:r>
          </w:p>
        </w:tc>
        <w:tc>
          <w:tcPr>
            <w:tcW w:w="5005" w:type="dxa"/>
            <w:gridSpan w:val="4"/>
            <w:noWrap w:val="0"/>
            <w:vAlign w:val="top"/>
          </w:tcPr>
          <w:p w14:paraId="131051AD">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49E9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7" w:type="dxa"/>
            <w:noWrap w:val="0"/>
            <w:vAlign w:val="top"/>
          </w:tcPr>
          <w:p w14:paraId="52F60D59">
            <w:pPr>
              <w:keepNext w:val="0"/>
              <w:keepLines w:val="0"/>
              <w:pageBreakBefore w:val="0"/>
              <w:widowControl w:val="0"/>
              <w:kinsoku/>
              <w:wordWrap/>
              <w:overflowPunct/>
              <w:topLinePunct w:val="0"/>
              <w:autoSpaceDE/>
              <w:autoSpaceDN/>
              <w:bidi w:val="0"/>
              <w:adjustRightInd/>
              <w:snapToGrid/>
              <w:spacing w:line="144" w:lineRule="auto"/>
              <w:jc w:val="center"/>
              <w:textAlignment w:val="auto"/>
              <w:rPr>
                <w:rFonts w:hint="eastAsia" w:ascii="宋体" w:hAnsi="宋体" w:eastAsia="宋体" w:cs="宋体"/>
                <w:b w:val="0"/>
                <w:color w:val="auto"/>
                <w:sz w:val="21"/>
                <w:szCs w:val="21"/>
                <w:u w:val="none"/>
                <w:lang w:eastAsia="zh-CN"/>
              </w:rPr>
            </w:pPr>
            <w:r>
              <w:rPr>
                <w:rFonts w:hint="eastAsia" w:ascii="宋体" w:hAnsi="宋体" w:eastAsia="宋体" w:cs="宋体"/>
                <w:b w:val="0"/>
                <w:color w:val="auto"/>
                <w:sz w:val="21"/>
                <w:szCs w:val="21"/>
                <w:u w:val="none"/>
              </w:rPr>
              <w:t>归属</w:t>
            </w:r>
            <w:r>
              <w:rPr>
                <w:rFonts w:hint="eastAsia" w:ascii="宋体" w:hAnsi="宋体" w:eastAsia="宋体" w:cs="宋体"/>
                <w:b w:val="0"/>
                <w:color w:val="auto"/>
                <w:sz w:val="21"/>
                <w:szCs w:val="21"/>
                <w:u w:val="none"/>
                <w:lang w:eastAsia="zh-CN"/>
              </w:rPr>
              <w:t>市场单元</w:t>
            </w:r>
          </w:p>
        </w:tc>
        <w:tc>
          <w:tcPr>
            <w:tcW w:w="5005" w:type="dxa"/>
            <w:gridSpan w:val="4"/>
            <w:noWrap w:val="0"/>
            <w:vAlign w:val="top"/>
          </w:tcPr>
          <w:p w14:paraId="40A251C0">
            <w:pPr>
              <w:keepNext w:val="0"/>
              <w:keepLines w:val="0"/>
              <w:pageBreakBefore w:val="0"/>
              <w:widowControl w:val="0"/>
              <w:kinsoku/>
              <w:wordWrap/>
              <w:overflowPunct/>
              <w:topLinePunct w:val="0"/>
              <w:autoSpaceDE/>
              <w:autoSpaceDN/>
              <w:bidi w:val="0"/>
              <w:adjustRightInd/>
              <w:snapToGrid/>
              <w:spacing w:line="144" w:lineRule="auto"/>
              <w:ind w:firstLine="320"/>
              <w:jc w:val="center"/>
              <w:textAlignment w:val="auto"/>
              <w:rPr>
                <w:rFonts w:hint="eastAsia" w:ascii="宋体" w:hAnsi="宋体" w:eastAsia="宋体" w:cs="宋体"/>
                <w:b w:val="0"/>
                <w:color w:val="auto"/>
                <w:sz w:val="21"/>
                <w:szCs w:val="21"/>
                <w:u w:val="none"/>
                <w:vertAlign w:val="baseline"/>
              </w:rPr>
            </w:pPr>
          </w:p>
        </w:tc>
      </w:tr>
      <w:tr w14:paraId="12A2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noWrap w:val="0"/>
            <w:vAlign w:val="top"/>
          </w:tcPr>
          <w:p w14:paraId="0070CD1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default" w:ascii="宋体" w:hAnsi="宋体" w:eastAsia="宋体" w:cs="宋体"/>
                <w:b w:val="0"/>
                <w:color w:val="auto"/>
                <w:sz w:val="21"/>
                <w:szCs w:val="21"/>
                <w:u w:val="none"/>
                <w:lang w:val="en-US" w:eastAsia="zh-CN"/>
              </w:rPr>
              <w:t>排队轮候期间</w:t>
            </w:r>
            <w:r>
              <w:rPr>
                <w:rFonts w:hint="eastAsia" w:ascii="宋体" w:hAnsi="宋体" w:eastAsia="宋体" w:cs="宋体"/>
                <w:b w:val="0"/>
                <w:color w:val="auto"/>
                <w:sz w:val="21"/>
                <w:szCs w:val="21"/>
                <w:u w:val="none"/>
                <w:lang w:val="en-US" w:eastAsia="zh-CN"/>
              </w:rPr>
              <w:t>，申请人出现下列情形的，导致排队轮候失效：</w:t>
            </w:r>
          </w:p>
          <w:p w14:paraId="345EC98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□主动放弃排队轮候权利的；</w:t>
            </w:r>
          </w:p>
          <w:p w14:paraId="3E3261F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w:t>
            </w:r>
            <w:r>
              <w:rPr>
                <w:rFonts w:hint="eastAsia" w:ascii="宋体" w:hAnsi="宋体" w:eastAsia="宋体" w:cs="宋体"/>
                <w:b w:val="0"/>
                <w:color w:val="auto"/>
                <w:kern w:val="2"/>
                <w:sz w:val="21"/>
                <w:szCs w:val="21"/>
                <w:u w:val="none"/>
                <w:lang w:val="en-US" w:eastAsia="zh-CN" w:bidi="ar-SA"/>
              </w:rPr>
              <w:t>排队轮候到号后，逾期五个工作日内未提出新办申请，或发证机关通过申请人预留的联系方式无法联系到申请人的（5日内随机时段拨打电话三次，或通过短信、书面等方式通知后没有回应的，视为无法联系；</w:t>
            </w:r>
          </w:p>
          <w:p w14:paraId="2FC18E2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□经营地址发生变化的；</w:t>
            </w:r>
          </w:p>
          <w:p w14:paraId="38448BC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□经营主体发生变化的；</w:t>
            </w:r>
          </w:p>
          <w:p w14:paraId="36BC8CE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□被市场监督管理部门吊销或注销营业执照；</w:t>
            </w:r>
          </w:p>
          <w:p w14:paraId="3DE3054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 w:eastAsia="zh-CN"/>
              </w:rPr>
            </w:pPr>
            <w:r>
              <w:rPr>
                <w:rFonts w:hint="eastAsia" w:ascii="宋体" w:hAnsi="宋体" w:eastAsia="宋体" w:cs="宋体"/>
                <w:b w:val="0"/>
                <w:color w:val="auto"/>
                <w:sz w:val="21"/>
                <w:szCs w:val="21"/>
                <w:u w:val="none"/>
                <w:lang w:val="en-US" w:eastAsia="zh-CN"/>
              </w:rPr>
              <w:t>□因其他轮候申请人取得许可后导致不符合</w:t>
            </w:r>
            <w:r>
              <w:rPr>
                <w:rFonts w:hint="eastAsia" w:ascii="宋体" w:hAnsi="宋体" w:eastAsia="宋体" w:cs="宋体"/>
                <w:b w:val="0"/>
                <w:color w:val="auto"/>
                <w:sz w:val="21"/>
                <w:szCs w:val="21"/>
                <w:u w:val="none"/>
                <w:lang w:val="en" w:eastAsia="zh-CN"/>
              </w:rPr>
              <w:t>“间距”相关要求的</w:t>
            </w:r>
          </w:p>
          <w:p w14:paraId="531FCEC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□擅自从事烟草专卖品生产经营活动受到行政处罚或刑事处罚的</w:t>
            </w:r>
            <w:r>
              <w:rPr>
                <w:rFonts w:hint="eastAsia" w:ascii="宋体" w:hAnsi="宋体" w:cs="宋体"/>
                <w:b w:val="0"/>
                <w:color w:val="auto"/>
                <w:sz w:val="21"/>
                <w:szCs w:val="21"/>
                <w:u w:val="none"/>
                <w:lang w:val="en-US" w:eastAsia="zh-CN"/>
              </w:rPr>
              <w:t>；</w:t>
            </w:r>
          </w:p>
          <w:p w14:paraId="0961E7C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 xml:space="preserve">□因轮候申请人原因导致轮候资格失效的其他情形。  </w:t>
            </w:r>
          </w:p>
        </w:tc>
      </w:tr>
      <w:tr w14:paraId="36C0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4261" w:type="dxa"/>
            <w:gridSpan w:val="2"/>
            <w:noWrap w:val="0"/>
            <w:vAlign w:val="top"/>
          </w:tcPr>
          <w:p w14:paraId="064AFF6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申请人（签名）：</w:t>
            </w:r>
          </w:p>
        </w:tc>
        <w:tc>
          <w:tcPr>
            <w:tcW w:w="4261" w:type="dxa"/>
            <w:gridSpan w:val="3"/>
            <w:noWrap w:val="0"/>
            <w:vAlign w:val="top"/>
          </w:tcPr>
          <w:p w14:paraId="2AF6C931">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专卖执法人员（签名）：</w:t>
            </w:r>
          </w:p>
        </w:tc>
      </w:tr>
      <w:tr w14:paraId="40967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2" w:type="dxa"/>
            <w:gridSpan w:val="5"/>
            <w:noWrap w:val="0"/>
            <w:vAlign w:val="top"/>
          </w:tcPr>
          <w:p w14:paraId="7ABD6AC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color w:val="auto"/>
                <w:sz w:val="21"/>
                <w:szCs w:val="21"/>
                <w:u w:val="none"/>
                <w:lang w:val="en-US" w:eastAsia="zh-CN"/>
              </w:rPr>
            </w:pPr>
            <w:r>
              <w:rPr>
                <w:rFonts w:hint="eastAsia" w:ascii="宋体" w:hAnsi="宋体" w:eastAsia="宋体" w:cs="宋体"/>
                <w:b w:val="0"/>
                <w:color w:val="auto"/>
                <w:sz w:val="21"/>
                <w:szCs w:val="21"/>
                <w:u w:val="none"/>
                <w:lang w:val="en-US" w:eastAsia="zh-CN"/>
              </w:rPr>
              <w:t>备注</w:t>
            </w:r>
          </w:p>
          <w:p w14:paraId="7694014A">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宋体"/>
                <w:b w:val="0"/>
                <w:color w:val="auto"/>
                <w:sz w:val="21"/>
                <w:szCs w:val="21"/>
                <w:u w:val="none"/>
                <w:lang w:val="en-US" w:eastAsia="zh-CN"/>
              </w:rPr>
            </w:pPr>
          </w:p>
        </w:tc>
      </w:tr>
    </w:tbl>
    <w:p w14:paraId="6E89231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color w:val="auto"/>
          <w:sz w:val="24"/>
          <w:szCs w:val="24"/>
          <w:u w:val="none"/>
          <w:lang w:eastAsia="zh-CN"/>
        </w:rPr>
      </w:pPr>
      <w:r>
        <w:rPr>
          <w:rFonts w:hint="eastAsia" w:ascii="仿宋_GB2312" w:hAnsi="仿宋_GB2312" w:eastAsia="仿宋_GB2312" w:cs="仿宋_GB2312"/>
          <w:b w:val="0"/>
          <w:color w:val="auto"/>
          <w:sz w:val="24"/>
          <w:szCs w:val="24"/>
          <w:u w:val="none"/>
          <w:lang w:eastAsia="zh-CN"/>
        </w:rPr>
        <w:t>本申请表一式两份，排队申请人和发证机关各执一份。</w:t>
      </w:r>
    </w:p>
    <w:p w14:paraId="3EE9793D"/>
    <w:p w14:paraId="022C9B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right="0" w:firstLine="640" w:firstLineChars="200"/>
        <w:jc w:val="both"/>
        <w:textAlignment w:val="baseline"/>
        <w:rPr>
          <w:rFonts w:hint="eastAsia" w:ascii="仿宋_GB2312" w:hAnsi="仿宋_GB2312" w:eastAsia="仿宋_GB2312" w:cs="仿宋_GB2312"/>
          <w:b w:val="0"/>
          <w:bCs w:val="0"/>
          <w:color w:val="auto"/>
          <w:kern w:val="2"/>
          <w:sz w:val="32"/>
          <w:szCs w:val="32"/>
          <w:lang w:val="en-US" w:eastAsia="zh-CN" w:bidi="ar-SA"/>
        </w:rPr>
      </w:pPr>
    </w:p>
    <w:p w14:paraId="2A9988A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420"/>
        <w:textAlignment w:val="baseline"/>
        <w:rPr>
          <w:rFonts w:hint="eastAsia" w:ascii="仿宋_GB2312" w:hAnsi="仿宋_GB2312" w:eastAsia="仿宋_GB2312" w:cs="仿宋_GB2312"/>
          <w:b w:val="0"/>
          <w:bCs w:val="0"/>
          <w:color w:val="auto"/>
          <w:kern w:val="2"/>
          <w:sz w:val="32"/>
          <w:szCs w:val="32"/>
          <w:lang w:val="en-US" w:eastAsia="zh-CN" w:bidi="ar-SA"/>
        </w:rPr>
      </w:pPr>
    </w:p>
    <w:p w14:paraId="12242E3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panose1 w:val="02000000000000000000"/>
    <w:charset w:val="86"/>
    <w:family w:val="auto"/>
    <w:pitch w:val="default"/>
    <w:sig w:usb0="A00002BF" w:usb1="38CF7CFA" w:usb2="00082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A400E"/>
    <w:multiLevelType w:val="singleLevel"/>
    <w:tmpl w:val="FFFA400E"/>
    <w:lvl w:ilvl="0" w:tentative="0">
      <w:start w:val="1"/>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8F23B7E"/>
    <w:rsid w:val="345E2E2B"/>
    <w:rsid w:val="36561AFA"/>
    <w:rsid w:val="3DDCD466"/>
    <w:rsid w:val="3FA7D100"/>
    <w:rsid w:val="5EBE7BF3"/>
    <w:rsid w:val="67F1F205"/>
    <w:rsid w:val="6DDE507A"/>
    <w:rsid w:val="70FFE52F"/>
    <w:rsid w:val="77F72356"/>
    <w:rsid w:val="7BFF67BA"/>
    <w:rsid w:val="7CBBCA19"/>
    <w:rsid w:val="8F7E5DC1"/>
    <w:rsid w:val="AB8BB11C"/>
    <w:rsid w:val="B3FE5F7F"/>
    <w:rsid w:val="B66B70CE"/>
    <w:rsid w:val="BFBF6857"/>
    <w:rsid w:val="C67D4103"/>
    <w:rsid w:val="D7F30E9B"/>
    <w:rsid w:val="F6FFF1E4"/>
    <w:rsid w:val="F97A09CE"/>
    <w:rsid w:val="FDEF9365"/>
    <w:rsid w:val="FEEF9EFB"/>
    <w:rsid w:val="FFCFE724"/>
    <w:rsid w:val="FFFFAD31"/>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8">
    <w:name w:val="Default Paragraph Font"/>
    <w:qFormat/>
    <w:uiPriority w:val="1"/>
  </w:style>
  <w:style w:type="table" w:default="1" w:styleId="6">
    <w:name w:val="Normal Table"/>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jc w:val="left"/>
    </w:pPr>
    <w:rPr>
      <w:color w:val="262626" w:themeColor="text1" w:themeTint="D9"/>
      <w:sz w:val="18"/>
      <w:szCs w:val="18"/>
      <w14:textFill>
        <w14:solidFill>
          <w14:schemeClr w14:val="tx1">
            <w14:lumMod w14:val="85000"/>
            <w14:lumOff w14:val="15000"/>
          </w14:schemeClr>
        </w14:solidFill>
      </w14:textFill>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color w:val="262626" w:themeColor="text1" w:themeTint="D9"/>
      <w:sz w:val="18"/>
      <w:szCs w:val="18"/>
      <w14:textFill>
        <w14:solidFill>
          <w14:schemeClr w14:val="tx1">
            <w14:lumMod w14:val="85000"/>
            <w14:lumOff w14:val="15000"/>
          </w14:schemeClr>
        </w14:solidFill>
      </w14:textFill>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rPr>
      <w:color w:val="262626" w:themeColor="text1" w:themeTint="D9"/>
      <w14:textFill>
        <w14:solidFill>
          <w14:schemeClr w14:val="tx1">
            <w14:lumMod w14:val="85000"/>
            <w14:lumOff w14:val="15000"/>
          </w14:schemeClr>
        </w14:solidFill>
      </w14:textFill>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rPr>
      <w:rFonts w:ascii="黑体" w:hAnsi="黑体" w:eastAsia="黑体" w:cs="Times New Roman"/>
      <w:color w:val="auto"/>
      <w:sz w:val="22"/>
      <w:szCs w:val="22"/>
    </w:rPr>
  </w:style>
  <w:style w:type="character" w:styleId="10">
    <w:name w:val="Emphasis"/>
    <w:basedOn w:val="8"/>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473</Words>
  <Characters>535</Characters>
  <Paragraphs>26</Paragraphs>
  <TotalTime>11</TotalTime>
  <ScaleCrop>false</ScaleCrop>
  <LinksUpToDate>false</LinksUpToDate>
  <CharactersWithSpaces>542</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2026-07-26T10:25:00Z</dcterms:created>
  <dc:creator>23117RK66C</dc:creator>
  <cp:lastModifiedBy>admin</cp:lastModifiedBy>
  <cp:lastPrinted>2026-08-20T17:18:00Z</cp:lastPrinted>
  <dcterms:modified xsi:type="dcterms:W3CDTF">2026-08-28T08:02:14Z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865EFD7110C546478EE78CE99119CB7D_13</vt:lpwstr>
  </property>
  <property fmtid="{D5CDD505-2E9C-101B-9397-08002B2CF9AE}" pid="3" name="KSOProductBuildVer">
    <vt:lpwstr>2052-12.1.0.24034</vt:lpwstr>
  </property>
</Properties>
</file>