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46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乌恰县</w:t>
      </w:r>
      <w:r>
        <w:rPr>
          <w:rFonts w:hint="eastAsia" w:ascii="方正小标宋简体" w:hAnsi="方正小标宋简体" w:eastAsia="方正小标宋简体" w:cs="方正小标宋简体"/>
          <w:b w:val="0"/>
          <w:bCs w:val="0"/>
          <w:sz w:val="44"/>
          <w:szCs w:val="44"/>
        </w:rPr>
        <w:t>人社局</w:t>
      </w:r>
      <w:r>
        <w:rPr>
          <w:rFonts w:hint="eastAsia" w:ascii="方正小标宋简体" w:hAnsi="方正小标宋简体" w:eastAsia="方正小标宋简体" w:cs="方正小标宋简体"/>
          <w:b w:val="0"/>
          <w:bCs w:val="0"/>
          <w:sz w:val="44"/>
          <w:szCs w:val="44"/>
          <w:lang w:val="en-US" w:eastAsia="zh-CN"/>
        </w:rPr>
        <w:t>开展治理欠薪夏季专项行动工作总结</w:t>
      </w:r>
    </w:p>
    <w:p w14:paraId="0DB1B7CC">
      <w:pPr>
        <w:ind w:firstLine="640" w:firstLineChars="200"/>
        <w:rPr>
          <w:rFonts w:hint="eastAsia" w:ascii="仿宋_GB2312" w:hAnsi="仿宋_GB2312" w:eastAsia="仿宋_GB2312" w:cs="仿宋_GB2312"/>
          <w:sz w:val="32"/>
          <w:szCs w:val="32"/>
          <w:lang w:val="en-US" w:eastAsia="zh-CN"/>
        </w:rPr>
      </w:pPr>
    </w:p>
    <w:p w14:paraId="06600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2025年以来</w:t>
      </w:r>
      <w:r>
        <w:rPr>
          <w:rFonts w:hint="eastAsia" w:ascii="仿宋_GB2312" w:hAnsi="仿宋_GB2312" w:eastAsia="仿宋_GB2312" w:cs="仿宋_GB2312"/>
          <w:sz w:val="32"/>
          <w:szCs w:val="32"/>
        </w:rPr>
        <w:t>，在局</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的领导下，在</w:t>
      </w:r>
      <w:r>
        <w:rPr>
          <w:rFonts w:hint="eastAsia" w:ascii="仿宋_GB2312" w:hAnsi="仿宋_GB2312" w:eastAsia="仿宋_GB2312" w:cs="仿宋_GB2312"/>
          <w:sz w:val="32"/>
          <w:szCs w:val="32"/>
          <w:lang w:eastAsia="zh-CN"/>
        </w:rPr>
        <w:t>州人社局</w:t>
      </w:r>
      <w:r>
        <w:rPr>
          <w:rFonts w:hint="eastAsia" w:ascii="仿宋_GB2312" w:hAnsi="仿宋_GB2312" w:eastAsia="仿宋_GB2312" w:cs="仿宋_GB2312"/>
          <w:sz w:val="32"/>
          <w:szCs w:val="32"/>
        </w:rPr>
        <w:t>关心指导下，</w:t>
      </w:r>
      <w:r>
        <w:rPr>
          <w:rFonts w:hint="eastAsia" w:ascii="仿宋_GB2312" w:hAnsi="仿宋_GB2312" w:eastAsia="仿宋_GB2312" w:cs="仿宋_GB2312"/>
          <w:sz w:val="32"/>
          <w:szCs w:val="32"/>
          <w:lang w:val="en-US" w:eastAsia="zh-CN"/>
        </w:rPr>
        <w:t>乌恰县劳动监察部门紧紧</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保稳定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促和谐</w:t>
      </w:r>
      <w:r>
        <w:rPr>
          <w:rFonts w:hint="eastAsia" w:ascii="仿宋_GB2312" w:hAnsi="仿宋_GB2312" w:eastAsia="仿宋_GB2312" w:cs="仿宋_GB2312"/>
          <w:sz w:val="32"/>
          <w:szCs w:val="32"/>
        </w:rPr>
        <w:t>”的工作主线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始终坚持依法</w:t>
      </w:r>
      <w:r>
        <w:rPr>
          <w:rFonts w:hint="eastAsia" w:ascii="仿宋_GB2312" w:hAnsi="仿宋_GB2312" w:eastAsia="仿宋_GB2312" w:cs="仿宋_GB2312"/>
          <w:sz w:val="32"/>
          <w:szCs w:val="32"/>
        </w:rPr>
        <w:t>维护劳动者合法权益为宗旨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狠抓源头治理，健全长效机制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深入开展企业用工常态化督导检查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积极推进劳务派遣用工管理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规范劳动</w:t>
      </w:r>
      <w:r>
        <w:rPr>
          <w:rFonts w:hint="eastAsia" w:ascii="仿宋_GB2312" w:hAnsi="仿宋_GB2312" w:eastAsia="仿宋_GB2312" w:cs="仿宋_GB2312"/>
          <w:sz w:val="32"/>
          <w:szCs w:val="32"/>
          <w:lang w:val="en-US" w:eastAsia="zh-CN"/>
        </w:rPr>
        <w:t>监察</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统筹兼顾</w:t>
      </w:r>
      <w:r>
        <w:rPr>
          <w:rFonts w:hint="eastAsia" w:ascii="仿宋_GB2312" w:hAnsi="仿宋_GB2312" w:eastAsia="仿宋_GB2312" w:cs="仿宋_GB2312"/>
          <w:sz w:val="32"/>
          <w:szCs w:val="32"/>
          <w:lang w:val="en-US" w:eastAsia="zh-CN"/>
        </w:rPr>
        <w:t>做好根治欠薪工作</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工作开展情况汇报如下</w:t>
      </w:r>
      <w:r>
        <w:rPr>
          <w:rFonts w:hint="eastAsia" w:ascii="仿宋_GB2312" w:hAnsi="仿宋_GB2312" w:eastAsia="仿宋_GB2312" w:cs="仿宋_GB2312"/>
          <w:sz w:val="32"/>
          <w:szCs w:val="32"/>
        </w:rPr>
        <w:t>：</w:t>
      </w:r>
    </w:p>
    <w:p w14:paraId="7B242F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一、基本情况</w:t>
      </w:r>
    </w:p>
    <w:p w14:paraId="18C5B4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eastAsia="仿宋" w:cs="仿宋"/>
          <w:sz w:val="32"/>
          <w:szCs w:val="32"/>
          <w:lang w:val="en-US" w:eastAsia="zh-CN"/>
        </w:rPr>
      </w:pPr>
      <w:r>
        <w:rPr>
          <w:rFonts w:hint="eastAsia" w:ascii="仿宋" w:eastAsia="仿宋" w:cs="仿宋"/>
          <w:b/>
          <w:bCs/>
          <w:sz w:val="32"/>
          <w:szCs w:val="32"/>
          <w:lang w:val="en-US" w:eastAsia="zh-CN"/>
        </w:rPr>
        <w:t>（一）欠薪问题处置情况。</w:t>
      </w:r>
      <w:r>
        <w:rPr>
          <w:rFonts w:hint="eastAsia" w:ascii="仿宋" w:eastAsia="仿宋" w:cs="仿宋"/>
          <w:sz w:val="32"/>
          <w:szCs w:val="32"/>
          <w:lang w:val="en-US" w:eastAsia="zh-CN"/>
        </w:rPr>
        <w:t>乌恰县人社局开展日常巡查7次，督促指导重点用人单位16家，从专项行动8月10日到9月30日，共排查接收处理各类欠薪案件件，核处办结27件，为32人31.52万元，做到欠薪线索及时受理、快速查处、迅速反馈，确保农民工诉求事事有着落、件件有结果。</w:t>
      </w:r>
    </w:p>
    <w:p w14:paraId="6F9EAAB1">
      <w:pPr>
        <w:ind w:firstLine="643" w:firstLineChars="200"/>
        <w:rPr>
          <w:rFonts w:hint="eastAsia" w:ascii="仿宋" w:eastAsia="仿宋" w:cs="仿宋"/>
          <w:sz w:val="32"/>
          <w:szCs w:val="32"/>
          <w:lang w:val="en-US" w:eastAsia="zh-CN"/>
        </w:rPr>
      </w:pPr>
      <w:r>
        <w:rPr>
          <w:rFonts w:hint="eastAsia" w:ascii="仿宋" w:eastAsia="仿宋" w:cs="仿宋"/>
          <w:b/>
          <w:bCs/>
          <w:sz w:val="32"/>
          <w:szCs w:val="32"/>
          <w:lang w:val="en-US" w:eastAsia="zh-CN"/>
        </w:rPr>
        <w:t>（二）五项制度落实情况。</w:t>
      </w:r>
      <w:r>
        <w:rPr>
          <w:rFonts w:hint="eastAsia" w:ascii="仿宋" w:eastAsia="仿宋" w:cs="仿宋"/>
          <w:sz w:val="32"/>
          <w:szCs w:val="32"/>
          <w:lang w:val="en-US" w:eastAsia="zh-CN"/>
        </w:rPr>
        <w:t>严格执行农民工工资保证金制度。我县积极推进“薪薪通”项目录入工作，强化对企业薪资发放监督，目前，全县政府、国企及社会投资项目录入“新薪通”平台工程项目68个，农民工工资保证金完成项目数65个,未完成项目数3个,完成率95.59%；农民工工资专用账户管理完成项目数67个,未完成项目数1个，完成率98.53%；劳动用工实名制管理完成项目数66个，未完成项目数2个，完成率97.06%；施工总承包单位代发工资完成项目数65个，未完成项目数3个，完成率95.59%；维权信息公示完成项目数65个，未完成项目数3个，完成率95.59%。劳动合同签订完成项目数63个,未完成项目数5个,完成率92.64%；</w:t>
      </w:r>
      <w:r>
        <w:rPr>
          <w:rFonts w:hint="eastAsia" w:ascii="仿宋" w:eastAsia="仿宋" w:cs="仿宋"/>
          <w:b/>
          <w:bCs/>
          <w:sz w:val="32"/>
          <w:szCs w:val="32"/>
          <w:lang w:val="en-US" w:eastAsia="zh-CN"/>
        </w:rPr>
        <w:t>五项制度综合完成率96.47%。</w:t>
      </w:r>
    </w:p>
    <w:p w14:paraId="48E238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二、主要问题及原因分析</w:t>
      </w:r>
    </w:p>
    <w:p w14:paraId="58D080CE">
      <w:pPr>
        <w:ind w:firstLine="643" w:firstLineChars="200"/>
        <w:rPr>
          <w:rFonts w:hint="eastAsia" w:ascii="仿宋_GB2312" w:hAnsi="仿宋_GB2312" w:eastAsia="仿宋_GB2312" w:cs="仿宋_GB2312"/>
          <w:b/>
          <w:bCs/>
          <w:i w:val="0"/>
          <w:iCs w:val="0"/>
          <w:caps w:val="0"/>
          <w:color w:val="auto"/>
          <w:spacing w:val="0"/>
          <w:sz w:val="32"/>
          <w:szCs w:val="32"/>
          <w:shd w:val="clear" w:color="auto" w:fill="auto"/>
          <w:lang w:val="en-US" w:eastAsia="zh-CN"/>
        </w:rPr>
      </w:pPr>
      <w:r>
        <w:rPr>
          <w:rFonts w:hint="eastAsia" w:ascii="仿宋_GB2312" w:hAnsi="仿宋_GB2312" w:eastAsia="仿宋_GB2312" w:cs="仿宋_GB2312"/>
          <w:b/>
          <w:bCs/>
          <w:i w:val="0"/>
          <w:iCs w:val="0"/>
          <w:caps w:val="0"/>
          <w:color w:val="auto"/>
          <w:spacing w:val="0"/>
          <w:sz w:val="32"/>
          <w:szCs w:val="32"/>
          <w:shd w:val="clear" w:color="auto" w:fill="auto"/>
          <w:lang w:val="en-US" w:eastAsia="zh-CN"/>
        </w:rPr>
        <w:t>一是</w:t>
      </w:r>
      <w:r>
        <w:rPr>
          <w:rFonts w:hint="eastAsia" w:ascii="仿宋_GB2312" w:hAnsi="仿宋_GB2312" w:eastAsia="仿宋_GB2312" w:cs="仿宋_GB2312"/>
          <w:i w:val="0"/>
          <w:iCs w:val="0"/>
          <w:caps w:val="0"/>
          <w:color w:val="auto"/>
          <w:spacing w:val="0"/>
          <w:sz w:val="32"/>
          <w:szCs w:val="32"/>
          <w:shd w:val="clear" w:color="auto" w:fill="auto"/>
          <w:lang w:val="en-US" w:eastAsia="zh-CN"/>
        </w:rPr>
        <w:t>行业部门监管力度不够，保障农民工工资支付工作涉及人社、住建、交通、水利等多个部门，但在实际工作中，部门之间的协同配合还存在一定问题，部分行业主管部门审批项目开工时未监管总承包单位录入新薪通平台，落实“五项制度”，落实行业主管部门对项目的监管责任力度不够</w:t>
      </w:r>
      <w:r>
        <w:rPr>
          <w:rFonts w:hint="eastAsia" w:ascii="仿宋_GB2312" w:hAnsi="仿宋_GB2312" w:eastAsia="仿宋_GB2312" w:cs="仿宋_GB2312"/>
          <w:b/>
          <w:bCs/>
          <w:i w:val="0"/>
          <w:iCs w:val="0"/>
          <w:caps w:val="0"/>
          <w:color w:val="auto"/>
          <w:spacing w:val="0"/>
          <w:sz w:val="32"/>
          <w:szCs w:val="32"/>
          <w:shd w:val="clear" w:color="auto" w:fill="auto"/>
          <w:lang w:val="en-US" w:eastAsia="zh-CN"/>
        </w:rPr>
        <w:t>。</w:t>
      </w:r>
    </w:p>
    <w:p w14:paraId="61F5BB99">
      <w:pPr>
        <w:ind w:firstLine="643" w:firstLineChars="200"/>
        <w:rPr>
          <w:rFonts w:hint="default" w:ascii="黑体" w:hAnsi="黑体" w:eastAsia="黑体" w:cs="黑体"/>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auto"/>
          <w:lang w:val="en-US" w:eastAsia="zh-CN"/>
        </w:rPr>
        <w:t>二是</w:t>
      </w:r>
      <w:r>
        <w:rPr>
          <w:rFonts w:hint="eastAsia" w:ascii="仿宋_GB2312" w:hAnsi="仿宋_GB2312" w:eastAsia="仿宋_GB2312" w:cs="仿宋_GB2312"/>
          <w:i w:val="0"/>
          <w:iCs w:val="0"/>
          <w:caps w:val="0"/>
          <w:color w:val="auto"/>
          <w:spacing w:val="0"/>
          <w:sz w:val="32"/>
          <w:szCs w:val="32"/>
          <w:shd w:val="clear" w:color="auto" w:fill="auto"/>
          <w:lang w:val="en-US" w:eastAsia="zh-CN"/>
        </w:rPr>
        <w:t>部分政府、国企和社会投资项目存在支付周期慢、工程款不到位等情况企业存在资金困难情况，尤其是水利、交通、住建项目，由于政府资金紧张、房屋销售困难等情况，导致承建企业面临垫资、成本上升等困境，资金周转困难，极容易产生欠薪风险隐患。</w:t>
      </w:r>
    </w:p>
    <w:p w14:paraId="3B58B63D">
      <w:pPr>
        <w:ind w:firstLine="643" w:firstLineChars="200"/>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 w:eastAsia="仿宋" w:cs="仿宋"/>
          <w:b/>
          <w:bCs/>
          <w:sz w:val="32"/>
          <w:szCs w:val="32"/>
          <w:lang w:val="en-US" w:eastAsia="zh-CN"/>
        </w:rPr>
        <w:t>三是</w:t>
      </w:r>
      <w:r>
        <w:rPr>
          <w:rFonts w:hint="eastAsia" w:ascii="仿宋" w:eastAsia="仿宋" w:cs="仿宋"/>
          <w:sz w:val="32"/>
          <w:szCs w:val="32"/>
          <w:lang w:val="en-US" w:eastAsia="zh-CN"/>
        </w:rPr>
        <w:t>政府、国企项目仍存在一些不规范行为。在日常巡查及欠薪案件处置中发现，部分工程项目存在层层转包、分包等操作，个别项目甚至出现多层转包现象。由于工程承包链条不断拉长，工程款支付环节增多，如建设单位、施工总承包单位、分包单位、实际施工人之间相互推诿扯皮极易引发工程结算纠纷，导致工程款拨付延迟。</w:t>
      </w:r>
    </w:p>
    <w:p w14:paraId="4004F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三、下一步工作计划</w:t>
      </w:r>
    </w:p>
    <w:p w14:paraId="0C24A5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进一步开拓创新认真履职。在落实和执行政策的过程中加强思考和探索，既要做好党中央、自治区、自治州、乌恰县决策部署的忠实执行者，又要发挥好基层一线的“排头兵”作用，敢于先行先试、探索创新。</w:t>
      </w:r>
    </w:p>
    <w:p w14:paraId="1E03B4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进一步加强人社法律法规、政策的宣传和普及。加强农民工思想和法制教育，引导和规范农民工自觉遵守单位规章制度和法律法规，完善工程项目宏观治理基础环境；加大项目管理人员业务指导力度，提升项目劳资管理整体水平，引导企业规范用工和劳动者正确维权。</w:t>
      </w:r>
    </w:p>
    <w:p w14:paraId="617CFE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进一步提升人社部门的依法行政能力建设。健全制度，完善农民工工资保障工作机制，根据各自职责抓好工程项目施工过程安全、用工等监管，抓农民工工资专用账户、总承包企业直接发放工资、按月足额实名实人发放工资、实名制管理、劳动合同签订等核心措施的落地落实，运用行业监管手段，促进工程款和工资及时结算发放，从源头减少欠薪事件的发生。</w:t>
      </w:r>
    </w:p>
    <w:p w14:paraId="4CB29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92CD7BE">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乌恰县人力资源和社会保障局</w:t>
      </w:r>
    </w:p>
    <w:p w14:paraId="5F86537A">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pPr>
      <w:r>
        <w:rPr>
          <w:rFonts w:hint="eastAsia" w:ascii="仿宋_GB2312" w:hAnsi="仿宋_GB2312" w:eastAsia="仿宋_GB2312" w:cs="仿宋_GB2312"/>
          <w:sz w:val="32"/>
          <w:szCs w:val="32"/>
          <w:lang w:val="en-US" w:eastAsia="zh-CN"/>
        </w:rPr>
        <w:t>2025年9月30日</w:t>
      </w:r>
    </w:p>
    <w:p w14:paraId="79CFA97D"/>
    <w:p w14:paraId="5BB53F07"/>
    <w:p w14:paraId="52D125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17E28"/>
    <w:rsid w:val="0FBE555E"/>
    <w:rsid w:val="31217E28"/>
    <w:rsid w:val="73445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1390</Words>
  <Characters>1448</Characters>
  <Lines>0</Lines>
  <Paragraphs>0</Paragraphs>
  <TotalTime>91</TotalTime>
  <ScaleCrop>false</ScaleCrop>
  <LinksUpToDate>false</LinksUpToDate>
  <CharactersWithSpaces>1448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2025-09-30T02:56:00Z</dcterms:created>
  <dc:creator>like sunday</dc:creator>
  <cp:lastModifiedBy>徐磊</cp:lastModifiedBy>
  <dcterms:modified xsi:type="dcterms:W3CDTF">2025-10-30T03:15:12Z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B3A3A355E451499D8007D52C939BE838_13</vt:lpwstr>
  </property>
  <property fmtid="{D5CDD505-2E9C-101B-9397-08002B2CF9AE}" pid="4" name="KSOTemplateDocerSaveRecord">
    <vt:lpwstr>eyJoZGlkIjoiMzEwNTM5NzYwMDRjMzkwZTVkZjY2ODkwMGIxNGU0OTUiLCJ1c2VySWQiOiIzNzg4MDE1NTQifQ==</vt:lpwstr>
  </property>
</Properties>
</file>