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line="564"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乌恰县城区</w:t>
      </w:r>
      <w:r>
        <w:rPr>
          <w:rFonts w:hint="eastAsia" w:ascii="方正小标宋简体" w:hAnsi="方正小标宋简体" w:eastAsia="方正小标宋简体" w:cs="方正小标宋简体"/>
          <w:color w:val="auto"/>
          <w:sz w:val="44"/>
          <w:szCs w:val="44"/>
        </w:rPr>
        <w:t>土地定级与基准地价</w:t>
      </w:r>
      <w:r>
        <w:rPr>
          <w:rFonts w:hint="eastAsia" w:ascii="方正小标宋简体" w:hAnsi="方正小标宋简体" w:eastAsia="方正小标宋简体" w:cs="方正小标宋简体"/>
          <w:color w:val="auto"/>
          <w:sz w:val="44"/>
          <w:szCs w:val="44"/>
        </w:rPr>
        <w:t>更新</w:t>
      </w:r>
      <w:r>
        <w:rPr>
          <w:rFonts w:hint="eastAsia" w:ascii="方正小标宋简体" w:hAnsi="方正小标宋简体" w:eastAsia="方正小标宋简体" w:cs="方正小标宋简体"/>
          <w:color w:val="auto"/>
          <w:sz w:val="44"/>
          <w:szCs w:val="44"/>
        </w:rPr>
        <w:t>成果</w:t>
      </w:r>
    </w:p>
    <w:p>
      <w:pPr>
        <w:pStyle w:val="3"/>
        <w:spacing w:before="0" w:beforeAutospacing="0" w:after="0" w:line="564" w:lineRule="exact"/>
        <w:rPr>
          <w:rFonts w:ascii="仿宋_GB2312" w:hAnsi="仿宋_GB2312" w:eastAsia="仿宋_GB2312" w:cs="仿宋_GB2312"/>
          <w:color w:val="auto"/>
          <w:sz w:val="32"/>
          <w:szCs w:val="32"/>
        </w:rPr>
      </w:pPr>
    </w:p>
    <w:p>
      <w:pPr>
        <w:pStyle w:val="3"/>
        <w:numPr>
          <w:ilvl w:val="0"/>
          <w:numId w:val="1"/>
        </w:numPr>
        <w:spacing w:before="0" w:beforeAutospacing="0" w:after="0" w:line="564"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城区</w:t>
      </w:r>
      <w:r>
        <w:rPr>
          <w:rFonts w:hint="eastAsia" w:ascii="黑体" w:hAnsi="黑体" w:eastAsia="黑体" w:cs="黑体"/>
          <w:color w:val="auto"/>
          <w:sz w:val="32"/>
          <w:szCs w:val="32"/>
        </w:rPr>
        <w:t>基准地价内涵</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仿宋_GB2312" w:eastAsia="仿宋_GB2312" w:cs="仿宋_GB2312"/>
          <w:color w:val="auto"/>
          <w:sz w:val="32"/>
          <w:szCs w:val="32"/>
        </w:rPr>
        <w:t>1.估价期日：</w:t>
      </w:r>
      <w:r>
        <w:rPr>
          <w:rFonts w:hint="eastAsia" w:ascii="仿宋_GB2312" w:hAnsi="Times New Roman" w:eastAsia="仿宋_GB2312"/>
          <w:color w:val="auto"/>
          <w:sz w:val="32"/>
          <w:szCs w:val="32"/>
        </w:rPr>
        <w:t>2023年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月3</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日</w:t>
      </w:r>
      <w:r>
        <w:rPr>
          <w:rFonts w:hint="eastAsia" w:ascii="仿宋_GB2312" w:hAnsi="Times New Roman" w:eastAsia="仿宋_GB2312"/>
          <w:color w:val="auto"/>
          <w:sz w:val="32"/>
          <w:szCs w:val="32"/>
        </w:rPr>
        <w:t>；</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2.土地使用年期：商服用地使用年限40年、住宅用地使用年限70年、工业用地使用年限50年、公共管理与公共服务用地使用年限50年；</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3.开发程度：“七通一平”（宗地外通路、通上水、通下水、通电、通讯、通暖、通气和宗地内场地平整）</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4.容积率：商服用地、住宅用地、工业用地和公共管理与公共服务用地均为1.0；</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6.土地权利状况：土地使用权为出让性质，商服、住宅、工业用地无他项权利限制下（公共管理与公共服务用地符合相关法律法规约定）的土地使用权价格。</w:t>
      </w:r>
    </w:p>
    <w:p>
      <w:pPr>
        <w:numPr>
          <w:ilvl w:val="0"/>
          <w:numId w:val="1"/>
        </w:numPr>
        <w:spacing w:line="564"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乌恰县城区</w:t>
      </w:r>
      <w:r>
        <w:rPr>
          <w:rFonts w:hint="eastAsia" w:ascii="黑体" w:hAnsi="黑体" w:eastAsia="黑体" w:cs="黑体"/>
          <w:color w:val="auto"/>
          <w:sz w:val="32"/>
          <w:szCs w:val="32"/>
        </w:rPr>
        <w:t>土地级别面积与基准地价表</w:t>
      </w:r>
    </w:p>
    <w:tbl>
      <w:tblPr>
        <w:tblStyle w:val="9"/>
        <w:tblW w:w="9061" w:type="dxa"/>
        <w:jc w:val="center"/>
        <w:tblInd w:w="0" w:type="dxa"/>
        <w:tblLayout w:type="fixed"/>
        <w:tblCellMar>
          <w:top w:w="0" w:type="dxa"/>
          <w:left w:w="108" w:type="dxa"/>
          <w:bottom w:w="0" w:type="dxa"/>
          <w:right w:w="108" w:type="dxa"/>
        </w:tblCellMar>
      </w:tblPr>
      <w:tblGrid>
        <w:gridCol w:w="5239"/>
        <w:gridCol w:w="1357"/>
        <w:gridCol w:w="1205"/>
        <w:gridCol w:w="1260"/>
      </w:tblGrid>
      <w:tr>
        <w:tblPrEx>
          <w:tblLayout w:type="fixed"/>
          <w:tblCellMar>
            <w:top w:w="0" w:type="dxa"/>
            <w:left w:w="108" w:type="dxa"/>
            <w:bottom w:w="0" w:type="dxa"/>
            <w:right w:w="108" w:type="dxa"/>
          </w:tblCellMar>
        </w:tblPrEx>
        <w:trPr>
          <w:trHeight w:val="432" w:hRule="atLeast"/>
          <w:jc w:val="center"/>
        </w:trPr>
        <w:tc>
          <w:tcPr>
            <w:tcW w:w="5239" w:type="dxa"/>
            <w:tcBorders>
              <w:top w:val="single" w:color="auto" w:sz="4" w:space="0"/>
              <w:left w:val="single" w:color="auto" w:sz="4" w:space="0"/>
              <w:right w:val="single" w:color="auto" w:sz="4" w:space="0"/>
              <w:tl2br w:val="single" w:color="auto" w:sz="4" w:space="0"/>
            </w:tcBorders>
            <w:shd w:val="clear" w:color="auto" w:fill="auto"/>
          </w:tcPr>
          <w:p>
            <w:pPr>
              <w:widowControl/>
              <w:ind w:right="27" w:firstLine="3" w:firstLineChars="1"/>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土地级别</w:t>
            </w:r>
          </w:p>
          <w:p>
            <w:pPr>
              <w:ind w:left="88" w:leftChars="-42" w:hanging="176" w:hangingChars="5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用地类型</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Ⅰ级</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Ⅱ级</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Ⅲ级</w:t>
            </w:r>
          </w:p>
        </w:tc>
      </w:tr>
      <w:tr>
        <w:tblPrEx>
          <w:tblLayout w:type="fixed"/>
          <w:tblCellMar>
            <w:top w:w="0" w:type="dxa"/>
            <w:left w:w="108" w:type="dxa"/>
            <w:bottom w:w="0" w:type="dxa"/>
            <w:right w:w="108" w:type="dxa"/>
          </w:tblCellMar>
        </w:tblPrEx>
        <w:trPr>
          <w:trHeight w:val="20" w:hRule="atLeast"/>
          <w:jc w:val="center"/>
        </w:trPr>
        <w:tc>
          <w:tcPr>
            <w:tcW w:w="5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bookmarkStart w:id="0" w:name="_Hlk149560206"/>
            <w:r>
              <w:rPr>
                <w:rFonts w:hint="eastAsia" w:ascii="仿宋_GB2312" w:hAnsi="仿宋_GB2312" w:eastAsia="仿宋_GB2312" w:cs="仿宋_GB2312"/>
                <w:color w:val="auto"/>
                <w:sz w:val="32"/>
                <w:szCs w:val="32"/>
              </w:rPr>
              <w:t>商服用地（元/㎡）</w:t>
            </w:r>
          </w:p>
        </w:tc>
        <w:tc>
          <w:tcPr>
            <w:tcW w:w="1357"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00</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0</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t>0</w:t>
            </w:r>
          </w:p>
        </w:tc>
      </w:tr>
      <w:tr>
        <w:tblPrEx>
          <w:tblLayout w:type="fixed"/>
          <w:tblCellMar>
            <w:top w:w="0" w:type="dxa"/>
            <w:left w:w="108" w:type="dxa"/>
            <w:bottom w:w="0" w:type="dxa"/>
            <w:right w:w="108" w:type="dxa"/>
          </w:tblCellMar>
        </w:tblPrEx>
        <w:trPr>
          <w:trHeight w:val="20" w:hRule="atLeast"/>
          <w:jc w:val="center"/>
        </w:trPr>
        <w:tc>
          <w:tcPr>
            <w:tcW w:w="5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住宅用地（元/㎡）</w:t>
            </w:r>
          </w:p>
        </w:tc>
        <w:tc>
          <w:tcPr>
            <w:tcW w:w="1357"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0</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0</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0</w:t>
            </w:r>
          </w:p>
        </w:tc>
      </w:tr>
      <w:tr>
        <w:tblPrEx>
          <w:tblLayout w:type="fixed"/>
          <w:tblCellMar>
            <w:top w:w="0" w:type="dxa"/>
            <w:left w:w="108" w:type="dxa"/>
            <w:bottom w:w="0" w:type="dxa"/>
            <w:right w:w="108" w:type="dxa"/>
          </w:tblCellMar>
        </w:tblPrEx>
        <w:trPr>
          <w:trHeight w:val="20" w:hRule="atLeast"/>
          <w:jc w:val="center"/>
        </w:trPr>
        <w:tc>
          <w:tcPr>
            <w:tcW w:w="5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公共管理与公共服务用地（元/㎡）</w:t>
            </w:r>
          </w:p>
        </w:tc>
        <w:tc>
          <w:tcPr>
            <w:tcW w:w="1357"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0</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0</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80</w:t>
            </w:r>
          </w:p>
        </w:tc>
      </w:tr>
      <w:tr>
        <w:tblPrEx>
          <w:tblLayout w:type="fixed"/>
          <w:tblCellMar>
            <w:top w:w="0" w:type="dxa"/>
            <w:left w:w="108" w:type="dxa"/>
            <w:bottom w:w="0" w:type="dxa"/>
            <w:right w:w="108" w:type="dxa"/>
          </w:tblCellMar>
        </w:tblPrEx>
        <w:trPr>
          <w:trHeight w:val="20" w:hRule="atLeast"/>
          <w:jc w:val="center"/>
        </w:trPr>
        <w:tc>
          <w:tcPr>
            <w:tcW w:w="5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工业用地（元/㎡）</w:t>
            </w:r>
          </w:p>
        </w:tc>
        <w:tc>
          <w:tcPr>
            <w:tcW w:w="1357" w:type="dxa"/>
            <w:tcBorders>
              <w:top w:val="single" w:color="auto" w:sz="4" w:space="0"/>
              <w:bottom w:val="single" w:color="auto" w:sz="4" w:space="0"/>
              <w:right w:val="single" w:color="auto" w:sz="4" w:space="0"/>
            </w:tcBorders>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106</w:t>
            </w:r>
          </w:p>
        </w:tc>
        <w:tc>
          <w:tcPr>
            <w:tcW w:w="120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87</w:t>
            </w:r>
          </w:p>
        </w:tc>
        <w:tc>
          <w:tcPr>
            <w:tcW w:w="1260"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w:t>
            </w:r>
          </w:p>
        </w:tc>
      </w:tr>
      <w:tr>
        <w:tblPrEx>
          <w:tblLayout w:type="fixed"/>
          <w:tblCellMar>
            <w:top w:w="0" w:type="dxa"/>
            <w:left w:w="108" w:type="dxa"/>
            <w:bottom w:w="0" w:type="dxa"/>
            <w:right w:w="108" w:type="dxa"/>
          </w:tblCellMar>
        </w:tblPrEx>
        <w:trPr>
          <w:trHeight w:val="20" w:hRule="atLeast"/>
          <w:jc w:val="center"/>
        </w:trPr>
        <w:tc>
          <w:tcPr>
            <w:tcW w:w="5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级别面积（km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w:t>
            </w:r>
          </w:p>
        </w:tc>
        <w:tc>
          <w:tcPr>
            <w:tcW w:w="1357"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1.68</w:t>
            </w:r>
          </w:p>
        </w:tc>
        <w:tc>
          <w:tcPr>
            <w:tcW w:w="1205"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3.17</w:t>
            </w:r>
          </w:p>
        </w:tc>
        <w:tc>
          <w:tcPr>
            <w:tcW w:w="1260"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2.42</w:t>
            </w:r>
          </w:p>
        </w:tc>
      </w:tr>
      <w:bookmarkEnd w:id="0"/>
    </w:tbl>
    <w:p>
      <w:pPr>
        <w:jc w:val="center"/>
        <w:rPr>
          <w:rFonts w:hint="eastAsia"/>
          <w:color w:val="auto"/>
        </w:rPr>
      </w:pP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bookmarkStart w:id="1" w:name="_GoBack"/>
      <w:bookmarkEnd w:id="1"/>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hint="eastAsia" w:ascii="仿宋_GB2312" w:hAnsi="仿宋_GB2312" w:eastAsia="仿宋_GB2312" w:cs="仿宋_GB2312"/>
          <w:color w:val="auto"/>
          <w:sz w:val="32"/>
          <w:szCs w:val="32"/>
        </w:rPr>
      </w:pPr>
    </w:p>
    <w:p>
      <w:pPr>
        <w:pStyle w:val="3"/>
        <w:spacing w:before="0" w:beforeAutospacing="0" w:after="0" w:line="564"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pStyle w:val="3"/>
        <w:spacing w:before="0" w:beforeAutospacing="0" w:after="0" w:line="564" w:lineRule="exact"/>
        <w:rPr>
          <w:rFonts w:ascii="仿宋_GB2312" w:hAnsi="仿宋_GB2312" w:eastAsia="仿宋_GB2312" w:cs="仿宋_GB2312"/>
          <w:color w:val="auto"/>
          <w:sz w:val="32"/>
          <w:szCs w:val="32"/>
        </w:rPr>
      </w:pPr>
    </w:p>
    <w:p>
      <w:pPr>
        <w:pStyle w:val="3"/>
        <w:spacing w:before="0" w:beforeAutospacing="0" w:after="0" w:line="564"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乌恰县</w:t>
      </w:r>
      <w:r>
        <w:rPr>
          <w:rFonts w:hint="eastAsia" w:ascii="方正小标宋简体" w:hAnsi="方正小标宋简体" w:eastAsia="方正小标宋简体" w:cs="方正小标宋简体"/>
          <w:color w:val="auto"/>
          <w:sz w:val="44"/>
          <w:szCs w:val="44"/>
        </w:rPr>
        <w:t>集体建设用地定级与基准地价成果</w:t>
      </w:r>
    </w:p>
    <w:p>
      <w:pPr>
        <w:pStyle w:val="3"/>
        <w:spacing w:before="0" w:beforeAutospacing="0" w:after="0" w:line="564" w:lineRule="exact"/>
        <w:jc w:val="center"/>
        <w:rPr>
          <w:rFonts w:ascii="方正小标宋简体" w:hAnsi="方正小标宋简体" w:eastAsia="方正小标宋简体" w:cs="方正小标宋简体"/>
          <w:color w:val="auto"/>
          <w:sz w:val="44"/>
          <w:szCs w:val="44"/>
        </w:rPr>
      </w:pPr>
    </w:p>
    <w:p>
      <w:pPr>
        <w:pStyle w:val="3"/>
        <w:spacing w:before="0" w:beforeAutospacing="0" w:after="0" w:line="564" w:lineRule="exact"/>
        <w:rPr>
          <w:rFonts w:ascii="黑体" w:hAnsi="黑体" w:eastAsia="黑体" w:cs="黑体"/>
          <w:color w:val="auto"/>
          <w:sz w:val="32"/>
          <w:szCs w:val="32"/>
        </w:rPr>
      </w:pPr>
      <w:r>
        <w:rPr>
          <w:rFonts w:hint="eastAsia" w:ascii="黑体" w:hAnsi="黑体" w:eastAsia="黑体" w:cs="黑体"/>
          <w:color w:val="auto"/>
          <w:sz w:val="32"/>
          <w:szCs w:val="32"/>
        </w:rPr>
        <w:t>一、集体建设用地基准地价内涵</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仿宋_GB2312" w:eastAsia="仿宋_GB2312" w:cs="仿宋_GB2312"/>
          <w:color w:val="auto"/>
          <w:sz w:val="32"/>
          <w:szCs w:val="32"/>
        </w:rPr>
        <w:t>1.估价期日：</w:t>
      </w:r>
      <w:r>
        <w:rPr>
          <w:rFonts w:hint="eastAsia" w:ascii="仿宋_GB2312" w:hAnsi="Times New Roman" w:eastAsia="仿宋_GB2312"/>
          <w:color w:val="auto"/>
          <w:sz w:val="32"/>
          <w:szCs w:val="32"/>
        </w:rPr>
        <w:t>2023年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月3</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日</w:t>
      </w:r>
      <w:r>
        <w:rPr>
          <w:rFonts w:hint="eastAsia" w:ascii="仿宋_GB2312" w:hAnsi="Times New Roman" w:eastAsia="仿宋_GB2312"/>
          <w:color w:val="auto"/>
          <w:sz w:val="32"/>
          <w:szCs w:val="32"/>
        </w:rPr>
        <w:t>；</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2.土地使用年期：商服用地使用年限40年、工业用地使用年限50年、公共管理与公共服务用地使用年限50年和宅基地</w:t>
      </w:r>
      <w:r>
        <w:rPr>
          <w:rFonts w:hint="eastAsia" w:ascii="Times New Roman" w:hAnsi="Times New Roman" w:eastAsia="仿宋"/>
          <w:color w:val="auto"/>
          <w:sz w:val="32"/>
          <w:szCs w:val="32"/>
        </w:rPr>
        <w:t>无年期限制</w:t>
      </w:r>
      <w:r>
        <w:rPr>
          <w:rFonts w:hint="eastAsia" w:ascii="仿宋_GB2312" w:hAnsi="Times New Roman" w:eastAsia="仿宋_GB2312"/>
          <w:color w:val="auto"/>
          <w:sz w:val="32"/>
          <w:szCs w:val="32"/>
        </w:rPr>
        <w:t>；</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3.开发程度：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五通一平</w:t>
      </w:r>
      <w:r>
        <w:rPr>
          <w:rFonts w:hint="eastAsia" w:ascii="仿宋_GB2312" w:hAnsi="仿宋_GB2312" w:eastAsia="仿宋_GB2312" w:cs="仿宋_GB2312"/>
          <w:color w:val="auto"/>
          <w:sz w:val="32"/>
          <w:szCs w:val="32"/>
        </w:rPr>
        <w:t>”</w:t>
      </w:r>
      <w:r>
        <w:rPr>
          <w:rFonts w:hint="eastAsia" w:ascii="仿宋_GB2312" w:hAnsi="Times New Roman" w:eastAsia="仿宋_GB2312"/>
          <w:color w:val="auto"/>
          <w:sz w:val="32"/>
          <w:szCs w:val="32"/>
        </w:rPr>
        <w:t>（宗地外</w:t>
      </w:r>
      <w:r>
        <w:rPr>
          <w:rFonts w:hint="eastAsia" w:ascii="Times New Roman" w:hAnsi="Times New Roman" w:eastAsia="仿宋"/>
          <w:color w:val="auto"/>
          <w:sz w:val="32"/>
          <w:szCs w:val="32"/>
        </w:rPr>
        <w:t>通路、通电、通讯、通上水、</w:t>
      </w:r>
      <w:r>
        <w:rPr>
          <w:rFonts w:hint="eastAsia" w:ascii="Times New Roman" w:hAnsi="Times New Roman" w:eastAsia="仿宋"/>
          <w:color w:val="auto"/>
          <w:sz w:val="32"/>
          <w:szCs w:val="32"/>
        </w:rPr>
        <w:t>通下水</w:t>
      </w:r>
      <w:r>
        <w:rPr>
          <w:rFonts w:hint="eastAsia" w:ascii="仿宋_GB2312" w:hAnsi="Times New Roman" w:eastAsia="仿宋_GB2312"/>
          <w:color w:val="auto"/>
          <w:sz w:val="32"/>
          <w:szCs w:val="32"/>
        </w:rPr>
        <w:t>和宗地内场地平整）</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4.容积率：集体商服用地、集体工业用地、集体公共管理与公共服务用地和集体宅基地均为1.0；</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6.土地权利状况：在符合规划和用途管制前提下，土地所有者和使用者分别取得合法集体土地所有权证和使用权证情况下的集体建设用地完整土地使用权市场价格。</w:t>
      </w:r>
    </w:p>
    <w:p>
      <w:pPr>
        <w:pStyle w:val="3"/>
        <w:spacing w:before="0" w:beforeAutospacing="0" w:after="0" w:line="564" w:lineRule="exact"/>
        <w:jc w:val="left"/>
        <w:rPr>
          <w:rFonts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rPr>
        <w:t>乌恰县</w:t>
      </w:r>
      <w:r>
        <w:rPr>
          <w:rFonts w:hint="eastAsia" w:ascii="黑体" w:hAnsi="黑体" w:eastAsia="黑体" w:cs="黑体"/>
          <w:color w:val="auto"/>
          <w:sz w:val="32"/>
          <w:szCs w:val="32"/>
        </w:rPr>
        <w:t>集体建设用地级别面积与基准地价表</w:t>
      </w:r>
    </w:p>
    <w:tbl>
      <w:tblPr>
        <w:tblStyle w:val="9"/>
        <w:tblW w:w="8949" w:type="dxa"/>
        <w:jc w:val="center"/>
        <w:tblInd w:w="0" w:type="dxa"/>
        <w:tblLayout w:type="fixed"/>
        <w:tblCellMar>
          <w:top w:w="0" w:type="dxa"/>
          <w:left w:w="108" w:type="dxa"/>
          <w:bottom w:w="0" w:type="dxa"/>
          <w:right w:w="108" w:type="dxa"/>
        </w:tblCellMar>
      </w:tblPr>
      <w:tblGrid>
        <w:gridCol w:w="5897"/>
        <w:gridCol w:w="1674"/>
        <w:gridCol w:w="1378"/>
      </w:tblGrid>
      <w:tr>
        <w:tblPrEx>
          <w:tblLayout w:type="fixed"/>
          <w:tblCellMar>
            <w:top w:w="0" w:type="dxa"/>
            <w:left w:w="108" w:type="dxa"/>
            <w:bottom w:w="0" w:type="dxa"/>
            <w:right w:w="108" w:type="dxa"/>
          </w:tblCellMar>
        </w:tblPrEx>
        <w:trPr>
          <w:trHeight w:val="290" w:hRule="atLeast"/>
          <w:jc w:val="center"/>
        </w:trPr>
        <w:tc>
          <w:tcPr>
            <w:tcW w:w="5897" w:type="dxa"/>
            <w:tcBorders>
              <w:top w:val="single" w:color="auto" w:sz="4" w:space="0"/>
              <w:left w:val="single" w:color="auto" w:sz="4" w:space="0"/>
              <w:right w:val="single" w:color="auto" w:sz="4" w:space="0"/>
              <w:tl2br w:val="single" w:color="auto" w:sz="4" w:space="0"/>
            </w:tcBorders>
            <w:shd w:val="clear" w:color="auto" w:fill="auto"/>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土地级别</w:t>
            </w:r>
          </w:p>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用地类型</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Ⅰ级</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Ⅱ级</w:t>
            </w:r>
          </w:p>
        </w:tc>
      </w:tr>
      <w:tr>
        <w:tblPrEx>
          <w:tblLayout w:type="fixed"/>
          <w:tblCellMar>
            <w:top w:w="0" w:type="dxa"/>
            <w:left w:w="108" w:type="dxa"/>
            <w:bottom w:w="0" w:type="dxa"/>
            <w:right w:w="108" w:type="dxa"/>
          </w:tblCellMar>
        </w:tblPrEx>
        <w:trPr>
          <w:trHeight w:val="378" w:hRule="atLeast"/>
          <w:jc w:val="center"/>
        </w:trPr>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商服用地（元/㎡）</w:t>
            </w:r>
          </w:p>
        </w:tc>
        <w:tc>
          <w:tcPr>
            <w:tcW w:w="1674" w:type="dxa"/>
            <w:tcBorders>
              <w:top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ascii="仿宋_GB2312" w:hAnsi="仿宋_GB2312" w:eastAsia="仿宋_GB2312" w:cs="仿宋_GB2312"/>
                <w:color w:val="auto"/>
                <w:sz w:val="32"/>
                <w:szCs w:val="32"/>
              </w:rPr>
              <w:t>0</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ascii="仿宋_GB2312" w:hAnsi="仿宋_GB2312" w:eastAsia="仿宋_GB2312" w:cs="仿宋_GB2312"/>
                <w:color w:val="auto"/>
                <w:sz w:val="32"/>
                <w:szCs w:val="32"/>
              </w:rPr>
              <w:t>0</w:t>
            </w:r>
          </w:p>
        </w:tc>
      </w:tr>
      <w:tr>
        <w:tblPrEx>
          <w:tblLayout w:type="fixed"/>
          <w:tblCellMar>
            <w:top w:w="0" w:type="dxa"/>
            <w:left w:w="108" w:type="dxa"/>
            <w:bottom w:w="0" w:type="dxa"/>
            <w:right w:w="108" w:type="dxa"/>
          </w:tblCellMar>
        </w:tblPrEx>
        <w:trPr>
          <w:trHeight w:val="413" w:hRule="atLeast"/>
          <w:jc w:val="center"/>
        </w:trPr>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宅基地（元/㎡）</w:t>
            </w:r>
          </w:p>
        </w:tc>
        <w:tc>
          <w:tcPr>
            <w:tcW w:w="1674" w:type="dxa"/>
            <w:tcBorders>
              <w:top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ascii="仿宋_GB2312" w:hAnsi="仿宋_GB2312" w:eastAsia="仿宋_GB2312" w:cs="仿宋_GB2312"/>
                <w:color w:val="auto"/>
                <w:sz w:val="32"/>
                <w:szCs w:val="32"/>
              </w:rPr>
              <w:t>0</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0</w:t>
            </w:r>
          </w:p>
        </w:tc>
      </w:tr>
      <w:tr>
        <w:tblPrEx>
          <w:tblLayout w:type="fixed"/>
          <w:tblCellMar>
            <w:top w:w="0" w:type="dxa"/>
            <w:left w:w="108" w:type="dxa"/>
            <w:bottom w:w="0" w:type="dxa"/>
            <w:right w:w="108" w:type="dxa"/>
          </w:tblCellMar>
        </w:tblPrEx>
        <w:trPr>
          <w:trHeight w:val="419" w:hRule="atLeast"/>
          <w:jc w:val="center"/>
        </w:trPr>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公共管理与公共服务用地（元/㎡）</w:t>
            </w:r>
          </w:p>
        </w:tc>
        <w:tc>
          <w:tcPr>
            <w:tcW w:w="1674" w:type="dxa"/>
            <w:tcBorders>
              <w:top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0</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55</w:t>
            </w:r>
          </w:p>
        </w:tc>
      </w:tr>
      <w:tr>
        <w:tblPrEx>
          <w:tblLayout w:type="fixed"/>
          <w:tblCellMar>
            <w:top w:w="0" w:type="dxa"/>
            <w:left w:w="108" w:type="dxa"/>
            <w:bottom w:w="0" w:type="dxa"/>
            <w:right w:w="108" w:type="dxa"/>
          </w:tblCellMar>
        </w:tblPrEx>
        <w:trPr>
          <w:trHeight w:val="268" w:hRule="atLeast"/>
          <w:jc w:val="center"/>
        </w:trPr>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工业用地（元/㎡）</w:t>
            </w:r>
          </w:p>
        </w:tc>
        <w:tc>
          <w:tcPr>
            <w:tcW w:w="1674" w:type="dxa"/>
            <w:tcBorders>
              <w:top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50</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5</w:t>
            </w:r>
          </w:p>
        </w:tc>
      </w:tr>
      <w:tr>
        <w:tblPrEx>
          <w:tblLayout w:type="fixed"/>
          <w:tblCellMar>
            <w:top w:w="0" w:type="dxa"/>
            <w:left w:w="108" w:type="dxa"/>
            <w:bottom w:w="0" w:type="dxa"/>
            <w:right w:w="108" w:type="dxa"/>
          </w:tblCellMar>
        </w:tblPrEx>
        <w:trPr>
          <w:trHeight w:val="387" w:hRule="atLeast"/>
          <w:jc w:val="center"/>
        </w:trPr>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级别面积（km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w:t>
            </w:r>
          </w:p>
        </w:tc>
        <w:tc>
          <w:tcPr>
            <w:tcW w:w="1674"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1.37</w:t>
            </w:r>
          </w:p>
        </w:tc>
        <w:tc>
          <w:tcPr>
            <w:tcW w:w="1378"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4.90</w:t>
            </w:r>
          </w:p>
        </w:tc>
      </w:tr>
    </w:tbl>
    <w:p>
      <w:pPr>
        <w:pStyle w:val="3"/>
        <w:spacing w:before="0" w:beforeAutospacing="0" w:after="0" w:line="240" w:lineRule="auto"/>
        <w:jc w:val="center"/>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p>
    <w:p>
      <w:pPr>
        <w:pStyle w:val="3"/>
        <w:spacing w:before="0" w:beforeAutospacing="0" w:after="0" w:line="564" w:lineRule="exact"/>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w:t>
      </w: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乌恰县</w:t>
      </w:r>
      <w:r>
        <w:rPr>
          <w:rFonts w:hint="eastAsia" w:ascii="方正小标宋简体" w:hAnsi="方正小标宋简体" w:eastAsia="方正小标宋简体" w:cs="方正小标宋简体"/>
          <w:color w:val="auto"/>
          <w:sz w:val="44"/>
          <w:szCs w:val="44"/>
        </w:rPr>
        <w:t>农用地定级与基准地价成果</w:t>
      </w: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rPr>
        <w:t>农用地</w:t>
      </w:r>
      <w:r>
        <w:rPr>
          <w:rFonts w:hint="eastAsia" w:ascii="黑体" w:hAnsi="黑体" w:eastAsia="黑体" w:cs="黑体"/>
          <w:color w:val="auto"/>
          <w:sz w:val="32"/>
          <w:szCs w:val="32"/>
        </w:rPr>
        <w:t>基准地价内涵</w:t>
      </w:r>
    </w:p>
    <w:p>
      <w:pPr>
        <w:pStyle w:val="3"/>
        <w:spacing w:before="0" w:beforeAutospacing="0" w:after="0" w:line="564" w:lineRule="exact"/>
        <w:ind w:firstLine="640" w:firstLineChars="200"/>
        <w:rPr>
          <w:rFonts w:ascii="仿宋_GB2312" w:hAnsi="Times New Roman" w:eastAsia="仿宋_GB2312"/>
          <w:color w:val="auto"/>
          <w:sz w:val="32"/>
          <w:szCs w:val="32"/>
        </w:rPr>
      </w:pPr>
      <w:r>
        <w:rPr>
          <w:rFonts w:hint="eastAsia" w:ascii="仿宋_GB2312" w:hAnsi="仿宋_GB2312" w:eastAsia="仿宋_GB2312" w:cs="仿宋_GB2312"/>
          <w:color w:val="auto"/>
          <w:sz w:val="32"/>
          <w:szCs w:val="32"/>
        </w:rPr>
        <w:t>1.估价期日：</w:t>
      </w:r>
      <w:r>
        <w:rPr>
          <w:rFonts w:hint="eastAsia" w:ascii="仿宋_GB2312" w:hAnsi="Times New Roman" w:eastAsia="仿宋_GB2312"/>
          <w:color w:val="auto"/>
          <w:sz w:val="32"/>
          <w:szCs w:val="32"/>
        </w:rPr>
        <w:t>202</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年6月30日</w:t>
      </w:r>
      <w:r>
        <w:rPr>
          <w:rFonts w:hint="eastAsia" w:ascii="仿宋_GB2312" w:hAnsi="Times New Roman" w:eastAsia="仿宋_GB2312"/>
          <w:color w:val="auto"/>
          <w:sz w:val="32"/>
          <w:szCs w:val="32"/>
        </w:rPr>
        <w:t>；</w:t>
      </w:r>
    </w:p>
    <w:p>
      <w:pPr>
        <w:spacing w:line="564"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2.用地类型：</w:t>
      </w:r>
      <w:r>
        <w:rPr>
          <w:rFonts w:hint="eastAsia" w:ascii="Times New Roman" w:hAnsi="Times New Roman" w:eastAsia="仿宋_GB2312"/>
          <w:color w:val="auto"/>
          <w:sz w:val="32"/>
          <w:szCs w:val="32"/>
        </w:rPr>
        <w:t>耕地</w:t>
      </w:r>
      <w:r>
        <w:rPr>
          <w:rFonts w:hint="eastAsia" w:ascii="Times New Roman" w:hAnsi="Times New Roman" w:eastAsia="仿宋_GB2312"/>
          <w:color w:val="auto"/>
          <w:sz w:val="32"/>
          <w:szCs w:val="32"/>
        </w:rPr>
        <w:t>（包括国有土地和集体土地）；</w:t>
      </w:r>
    </w:p>
    <w:p>
      <w:pPr>
        <w:spacing w:line="564"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3.土地权利年期：</w:t>
      </w:r>
      <w:r>
        <w:rPr>
          <w:rFonts w:hint="eastAsia" w:ascii="Times New Roman" w:hAnsi="Times New Roman" w:eastAsia="仿宋_GB2312"/>
          <w:color w:val="auto"/>
          <w:sz w:val="32"/>
          <w:szCs w:val="32"/>
        </w:rPr>
        <w:t>30年</w:t>
      </w:r>
      <w:r>
        <w:rPr>
          <w:rFonts w:hint="eastAsia" w:ascii="Times New Roman" w:hAnsi="Times New Roman" w:eastAsia="仿宋_GB2312"/>
          <w:color w:val="auto"/>
          <w:sz w:val="32"/>
          <w:szCs w:val="32"/>
        </w:rPr>
        <w:t>；</w:t>
      </w:r>
    </w:p>
    <w:p>
      <w:pPr>
        <w:spacing w:line="564"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rPr>
        <w:t>耕作制度：一年一熟制；</w:t>
      </w:r>
    </w:p>
    <w:p>
      <w:pPr>
        <w:spacing w:line="564"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5.土地权利类型：</w:t>
      </w:r>
      <w:r>
        <w:rPr>
          <w:rFonts w:hint="eastAsia" w:ascii="Times New Roman" w:hAnsi="Times New Roman" w:eastAsia="仿宋_GB2312"/>
          <w:color w:val="auto"/>
          <w:sz w:val="32"/>
          <w:szCs w:val="32"/>
        </w:rPr>
        <w:t>承包经营权</w:t>
      </w:r>
      <w:r>
        <w:rPr>
          <w:rFonts w:hint="eastAsia" w:ascii="Times New Roman" w:hAnsi="Times New Roman" w:eastAsia="仿宋_GB2312"/>
          <w:color w:val="auto"/>
          <w:sz w:val="32"/>
          <w:szCs w:val="32"/>
        </w:rPr>
        <w:t>；</w:t>
      </w:r>
    </w:p>
    <w:p>
      <w:pPr>
        <w:spacing w:line="564"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6.基本设施状况：</w:t>
      </w:r>
      <w:r>
        <w:rPr>
          <w:rFonts w:hint="eastAsia" w:ascii="Times New Roman" w:hAnsi="Times New Roman" w:eastAsia="仿宋_GB2312"/>
          <w:color w:val="auto"/>
          <w:sz w:val="32"/>
          <w:szCs w:val="32"/>
        </w:rPr>
        <w:t>有正常的灌溉设施，田间道路、防护林、桥、涵、闸等基础设施基本配套，条田平整，耕作层土壤熟化且在正常年份能获得稳定收益</w:t>
      </w:r>
      <w:r>
        <w:rPr>
          <w:rFonts w:hint="eastAsia" w:ascii="Times New Roman" w:hAnsi="Times New Roman" w:eastAsia="仿宋_GB2312"/>
          <w:color w:val="auto"/>
          <w:sz w:val="32"/>
          <w:szCs w:val="32"/>
        </w:rPr>
        <w:t>。</w:t>
      </w:r>
    </w:p>
    <w:p>
      <w:pPr>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w:t>
      </w:r>
      <w:r>
        <w:rPr>
          <w:rFonts w:hint="eastAsia" w:ascii="黑体" w:hAnsi="黑体" w:eastAsia="黑体" w:cs="黑体"/>
          <w:color w:val="auto"/>
          <w:sz w:val="32"/>
          <w:szCs w:val="32"/>
        </w:rPr>
        <w:t>乌恰县</w:t>
      </w:r>
      <w:r>
        <w:rPr>
          <w:rFonts w:hint="eastAsia" w:ascii="黑体" w:hAnsi="黑体" w:eastAsia="黑体" w:cs="黑体"/>
          <w:color w:val="auto"/>
          <w:sz w:val="32"/>
          <w:szCs w:val="32"/>
        </w:rPr>
        <w:t>农用地级别和基准地价表</w:t>
      </w:r>
    </w:p>
    <w:tbl>
      <w:tblPr>
        <w:tblStyle w:val="9"/>
        <w:tblW w:w="9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419"/>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263" w:type="dxa"/>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级别</w:t>
            </w:r>
          </w:p>
        </w:tc>
        <w:tc>
          <w:tcPr>
            <w:tcW w:w="3419" w:type="dxa"/>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价格单位</w:t>
            </w:r>
          </w:p>
        </w:tc>
        <w:tc>
          <w:tcPr>
            <w:tcW w:w="3369" w:type="dxa"/>
            <w:shd w:val="clear" w:color="auto" w:fill="auto"/>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30年基准地价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2263" w:type="dxa"/>
            <w:vMerge w:val="restart"/>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Ⅰ级</w:t>
            </w:r>
          </w:p>
        </w:tc>
        <w:tc>
          <w:tcPr>
            <w:tcW w:w="3419" w:type="dxa"/>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元/平方米</w:t>
            </w:r>
          </w:p>
        </w:tc>
        <w:tc>
          <w:tcPr>
            <w:tcW w:w="3369" w:type="dxa"/>
            <w:shd w:val="clear" w:color="auto" w:fill="auto"/>
            <w:vAlign w:val="center"/>
          </w:tcPr>
          <w:p>
            <w:pPr>
              <w:widowControl/>
              <w:jc w:val="center"/>
              <w:rPr>
                <w:rFonts w:ascii="仿宋_GB2312" w:hAnsi="仿宋_GB2312" w:eastAsia="仿宋_GB2312" w:cs="仿宋_GB2312"/>
                <w:color w:val="auto"/>
                <w:sz w:val="32"/>
                <w:szCs w:val="32"/>
              </w:rPr>
            </w:pPr>
            <w:r>
              <w:rPr>
                <w:rFonts w:ascii="Times New Roman" w:hAnsi="Times New Roman" w:eastAsiaTheme="majorEastAsia"/>
                <w:color w:val="auto"/>
                <w:sz w:val="32"/>
                <w:szCs w:val="32"/>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2263" w:type="dxa"/>
            <w:vMerge w:val="continue"/>
            <w:vAlign w:val="center"/>
          </w:tcPr>
          <w:p>
            <w:pPr>
              <w:widowControl/>
              <w:jc w:val="center"/>
              <w:rPr>
                <w:rFonts w:ascii="仿宋_GB2312" w:hAnsi="仿宋_GB2312" w:eastAsia="仿宋_GB2312" w:cs="仿宋_GB2312"/>
                <w:color w:val="auto"/>
                <w:sz w:val="32"/>
                <w:szCs w:val="32"/>
              </w:rPr>
            </w:pPr>
          </w:p>
        </w:tc>
        <w:tc>
          <w:tcPr>
            <w:tcW w:w="3419" w:type="dxa"/>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元/亩</w:t>
            </w:r>
          </w:p>
        </w:tc>
        <w:tc>
          <w:tcPr>
            <w:tcW w:w="3369" w:type="dxa"/>
            <w:shd w:val="clear" w:color="auto" w:fill="auto"/>
            <w:vAlign w:val="center"/>
          </w:tcPr>
          <w:p>
            <w:pPr>
              <w:widowControl/>
              <w:jc w:val="center"/>
              <w:rPr>
                <w:rFonts w:ascii="仿宋_GB2312" w:hAnsi="仿宋_GB2312" w:eastAsia="仿宋_GB2312" w:cs="仿宋_GB2312"/>
                <w:color w:val="auto"/>
                <w:sz w:val="32"/>
                <w:szCs w:val="32"/>
              </w:rPr>
            </w:pPr>
            <w:r>
              <w:rPr>
                <w:rFonts w:ascii="Times New Roman" w:hAnsi="Times New Roman" w:eastAsiaTheme="majorEastAsia"/>
                <w:color w:val="auto"/>
                <w:sz w:val="32"/>
                <w:szCs w:val="32"/>
              </w:rPr>
              <w:t>3970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2263" w:type="dxa"/>
            <w:vMerge w:val="restart"/>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Ⅱ级</w:t>
            </w:r>
          </w:p>
        </w:tc>
        <w:tc>
          <w:tcPr>
            <w:tcW w:w="3419" w:type="dxa"/>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元/平方米</w:t>
            </w:r>
          </w:p>
        </w:tc>
        <w:tc>
          <w:tcPr>
            <w:tcW w:w="3369" w:type="dxa"/>
            <w:shd w:val="clear" w:color="auto" w:fill="auto"/>
            <w:vAlign w:val="center"/>
          </w:tcPr>
          <w:p>
            <w:pPr>
              <w:widowControl/>
              <w:jc w:val="center"/>
              <w:rPr>
                <w:rFonts w:ascii="仿宋_GB2312" w:hAnsi="仿宋_GB2312" w:eastAsia="仿宋_GB2312" w:cs="仿宋_GB2312"/>
                <w:color w:val="auto"/>
                <w:sz w:val="32"/>
                <w:szCs w:val="32"/>
              </w:rPr>
            </w:pPr>
            <w:r>
              <w:rPr>
                <w:rFonts w:ascii="Times New Roman" w:hAnsi="Times New Roman" w:eastAsiaTheme="majorEastAsia"/>
                <w:color w:val="auto"/>
                <w:sz w:val="32"/>
                <w:szCs w:val="32"/>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2263" w:type="dxa"/>
            <w:vMerge w:val="continue"/>
            <w:vAlign w:val="center"/>
          </w:tcPr>
          <w:p>
            <w:pPr>
              <w:widowControl/>
              <w:jc w:val="center"/>
              <w:rPr>
                <w:rFonts w:ascii="仿宋_GB2312" w:hAnsi="仿宋_GB2312" w:eastAsia="仿宋_GB2312" w:cs="仿宋_GB2312"/>
                <w:color w:val="auto"/>
                <w:sz w:val="32"/>
                <w:szCs w:val="32"/>
              </w:rPr>
            </w:pPr>
          </w:p>
        </w:tc>
        <w:tc>
          <w:tcPr>
            <w:tcW w:w="3419" w:type="dxa"/>
            <w:vAlign w:val="center"/>
          </w:tcPr>
          <w:p>
            <w:pPr>
              <w:widowControl/>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元/亩</w:t>
            </w:r>
          </w:p>
        </w:tc>
        <w:tc>
          <w:tcPr>
            <w:tcW w:w="3369" w:type="dxa"/>
            <w:shd w:val="clear" w:color="auto" w:fill="auto"/>
            <w:vAlign w:val="center"/>
          </w:tcPr>
          <w:p>
            <w:pPr>
              <w:widowControl/>
              <w:jc w:val="center"/>
              <w:rPr>
                <w:rFonts w:ascii="仿宋_GB2312" w:hAnsi="仿宋_GB2312" w:eastAsia="仿宋_GB2312" w:cs="仿宋_GB2312"/>
                <w:color w:val="auto"/>
                <w:sz w:val="32"/>
                <w:szCs w:val="32"/>
              </w:rPr>
            </w:pPr>
            <w:r>
              <w:rPr>
                <w:rFonts w:ascii="Times New Roman" w:hAnsi="Times New Roman" w:eastAsiaTheme="majorEastAsia"/>
                <w:color w:val="auto"/>
                <w:sz w:val="32"/>
                <w:szCs w:val="32"/>
              </w:rPr>
              <w:t>3550</w:t>
            </w:r>
          </w:p>
        </w:tc>
      </w:tr>
    </w:tbl>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p>
      <w:pPr>
        <w:pStyle w:val="3"/>
        <w:spacing w:before="0" w:beforeAutospacing="0" w:after="0" w:line="564" w:lineRule="exact"/>
        <w:jc w:val="left"/>
        <w:rPr>
          <w:rFonts w:ascii="黑体" w:hAnsi="黑体" w:eastAsia="黑体" w:cs="黑体"/>
          <w:bCs/>
          <w:color w:val="auto"/>
          <w:sz w:val="32"/>
          <w:szCs w:val="32"/>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20</w:t>
                          </w:r>
                          <w:r>
                            <w:rPr>
                              <w:rStyle w:val="8"/>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20</w:t>
                    </w:r>
                    <w:r>
                      <w:rPr>
                        <w:rStyle w:val="8"/>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3FCA3"/>
    <w:multiLevelType w:val="singleLevel"/>
    <w:tmpl w:val="B843FC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69"/>
    <w:rsid w:val="000219AC"/>
    <w:rsid w:val="000468D0"/>
    <w:rsid w:val="000C7756"/>
    <w:rsid w:val="004C0496"/>
    <w:rsid w:val="00575165"/>
    <w:rsid w:val="007D41CB"/>
    <w:rsid w:val="00806700"/>
    <w:rsid w:val="00880979"/>
    <w:rsid w:val="009071D2"/>
    <w:rsid w:val="00953562"/>
    <w:rsid w:val="009F251C"/>
    <w:rsid w:val="00BD118E"/>
    <w:rsid w:val="00BD364F"/>
    <w:rsid w:val="00CA566C"/>
    <w:rsid w:val="00DC1B5F"/>
    <w:rsid w:val="00F60697"/>
    <w:rsid w:val="00F93D69"/>
    <w:rsid w:val="03073B59"/>
    <w:rsid w:val="03E91383"/>
    <w:rsid w:val="082A2A45"/>
    <w:rsid w:val="08A362D1"/>
    <w:rsid w:val="0BAE50CD"/>
    <w:rsid w:val="0CD9514F"/>
    <w:rsid w:val="0D734D80"/>
    <w:rsid w:val="0E9D183B"/>
    <w:rsid w:val="0F291AD7"/>
    <w:rsid w:val="0F693AF9"/>
    <w:rsid w:val="11624912"/>
    <w:rsid w:val="127F42BF"/>
    <w:rsid w:val="1586154C"/>
    <w:rsid w:val="18C11231"/>
    <w:rsid w:val="18DD2705"/>
    <w:rsid w:val="19454969"/>
    <w:rsid w:val="19C90789"/>
    <w:rsid w:val="19D133E7"/>
    <w:rsid w:val="1A461B2A"/>
    <w:rsid w:val="1A8061A8"/>
    <w:rsid w:val="1B9D4C5C"/>
    <w:rsid w:val="1BAE3361"/>
    <w:rsid w:val="1D5C3938"/>
    <w:rsid w:val="1FA50445"/>
    <w:rsid w:val="2029196B"/>
    <w:rsid w:val="217A4AE1"/>
    <w:rsid w:val="224664C1"/>
    <w:rsid w:val="22A31FDF"/>
    <w:rsid w:val="232B67A4"/>
    <w:rsid w:val="24810770"/>
    <w:rsid w:val="24E258C7"/>
    <w:rsid w:val="252A30F5"/>
    <w:rsid w:val="265E4700"/>
    <w:rsid w:val="26727723"/>
    <w:rsid w:val="2701693E"/>
    <w:rsid w:val="277B2867"/>
    <w:rsid w:val="28614021"/>
    <w:rsid w:val="28E7712D"/>
    <w:rsid w:val="293E7E2E"/>
    <w:rsid w:val="2A896D7C"/>
    <w:rsid w:val="2CB53EA5"/>
    <w:rsid w:val="30917F49"/>
    <w:rsid w:val="31E0061F"/>
    <w:rsid w:val="33722D8A"/>
    <w:rsid w:val="361F7D93"/>
    <w:rsid w:val="36B9186D"/>
    <w:rsid w:val="374732F7"/>
    <w:rsid w:val="375719B6"/>
    <w:rsid w:val="3913517F"/>
    <w:rsid w:val="39947487"/>
    <w:rsid w:val="3A0A2EB9"/>
    <w:rsid w:val="3A1A4729"/>
    <w:rsid w:val="3A342C2A"/>
    <w:rsid w:val="3A9F2678"/>
    <w:rsid w:val="3B2F4BFE"/>
    <w:rsid w:val="3B8C6CE7"/>
    <w:rsid w:val="41214AC6"/>
    <w:rsid w:val="414122CD"/>
    <w:rsid w:val="42301F23"/>
    <w:rsid w:val="44837D33"/>
    <w:rsid w:val="45744646"/>
    <w:rsid w:val="45A94F0D"/>
    <w:rsid w:val="45DE5473"/>
    <w:rsid w:val="472D26D6"/>
    <w:rsid w:val="47C62E78"/>
    <w:rsid w:val="48E016AC"/>
    <w:rsid w:val="48E32FF3"/>
    <w:rsid w:val="4EDA5C3A"/>
    <w:rsid w:val="53801775"/>
    <w:rsid w:val="53BC10D7"/>
    <w:rsid w:val="55DF0A3C"/>
    <w:rsid w:val="58E72AE7"/>
    <w:rsid w:val="593A77DC"/>
    <w:rsid w:val="5989564A"/>
    <w:rsid w:val="59A748AF"/>
    <w:rsid w:val="5A18463B"/>
    <w:rsid w:val="5AB64254"/>
    <w:rsid w:val="5B0E163E"/>
    <w:rsid w:val="5C3C14E6"/>
    <w:rsid w:val="5CF759DD"/>
    <w:rsid w:val="5DA56009"/>
    <w:rsid w:val="5E5957C7"/>
    <w:rsid w:val="616C37C4"/>
    <w:rsid w:val="631A7B44"/>
    <w:rsid w:val="64F27AB6"/>
    <w:rsid w:val="67E75F07"/>
    <w:rsid w:val="68611195"/>
    <w:rsid w:val="6BF411C9"/>
    <w:rsid w:val="6F293750"/>
    <w:rsid w:val="70B8767B"/>
    <w:rsid w:val="70CF6EE2"/>
    <w:rsid w:val="72ED3EA7"/>
    <w:rsid w:val="743C3D07"/>
    <w:rsid w:val="760B098A"/>
    <w:rsid w:val="78194488"/>
    <w:rsid w:val="7A537253"/>
    <w:rsid w:val="7AC6638F"/>
    <w:rsid w:val="7C7B3833"/>
    <w:rsid w:val="7DC659B7"/>
    <w:rsid w:val="7EEC4F64"/>
    <w:rsid w:val="7F2634CA"/>
    <w:rsid w:val="7F61108B"/>
    <w:rsid w:val="7FEA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spacing w:before="100" w:beforeAutospacing="1" w:after="120" w:line="360" w:lineRule="auto"/>
    </w:pPr>
  </w:style>
  <w:style w:type="paragraph" w:styleId="4">
    <w:name w:val="toc 3"/>
    <w:basedOn w:val="1"/>
    <w:next w:val="1"/>
    <w:qFormat/>
    <w:uiPriority w:val="0"/>
    <w:pPr>
      <w:tabs>
        <w:tab w:val="right" w:leader="dot" w:pos="8720"/>
      </w:tabs>
      <w:jc w:val="left"/>
    </w:pPr>
    <w:rPr>
      <w:b/>
      <w:color w:val="000000"/>
      <w:sz w:val="24"/>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Words>
  <Characters>1774</Characters>
  <Lines>14</Lines>
  <Paragraphs>4</Paragraphs>
  <TotalTime>3</TotalTime>
  <ScaleCrop>false</ScaleCrop>
  <LinksUpToDate>false</LinksUpToDate>
  <CharactersWithSpaces>2081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2024-10-08T04:35:00Z</dcterms:created>
  <dc:creator>123456</dc:creator>
  <cp:lastModifiedBy>Administrator</cp:lastModifiedBy>
  <cp:lastPrinted>2024-02-07T10:29:00Z</cp:lastPrinted>
  <dcterms:modified xsi:type="dcterms:W3CDTF">2024-10-29T05:33:37Z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53EC94EDAF294579A66D3AF55F284681</vt:lpwstr>
  </property>
</Properties>
</file>